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6F" w:rsidRPr="001D4A6F" w:rsidRDefault="00A65D56" w:rsidP="001D4A6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Отчет об исполнении </w:t>
      </w:r>
      <w:r w:rsidR="006E7CEA" w:rsidRPr="001D4A6F">
        <w:rPr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</w:p>
    <w:p w:rsidR="00212014" w:rsidRPr="00212014" w:rsidRDefault="00212014" w:rsidP="002120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>План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противодействия коррупции </w:t>
      </w:r>
    </w:p>
    <w:p w:rsidR="006E7CEA" w:rsidRDefault="00212014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Министерства здравоохранения Челябинской области на 2018-2020 годы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за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56D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1-3 кварталы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9E259C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656DDA">
        <w:trPr>
          <w:trHeight w:val="498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N </w:t>
            </w:r>
            <w:r w:rsidRPr="00B77DE7">
              <w:br/>
              <w:t>п/п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Исполнение мероприятия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656DDA">
        <w:trPr>
          <w:trHeight w:val="2164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120724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6D0F90" w:rsidRPr="00120724" w:rsidRDefault="006D0F90" w:rsidP="00B77DE7">
            <w:pPr>
              <w:jc w:val="both"/>
            </w:pPr>
            <w:r w:rsidRPr="00120724">
              <w:t xml:space="preserve">В </w:t>
            </w:r>
            <w:r w:rsidR="003773A8">
              <w:t xml:space="preserve">1-3 кварталах 2018 г. в </w:t>
            </w:r>
            <w:r w:rsidRPr="00120724">
              <w:t>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3773A8">
              <w:t>,  а именно:</w:t>
            </w:r>
          </w:p>
          <w:p w:rsidR="00D2450D" w:rsidRPr="00120724" w:rsidRDefault="00D2450D" w:rsidP="00D2450D">
            <w:pPr>
              <w:jc w:val="both"/>
            </w:pPr>
            <w:r w:rsidRPr="00120724">
              <w:t>Постановления Губернатора Челябинской области – 5;</w:t>
            </w:r>
          </w:p>
          <w:p w:rsidR="00D2450D" w:rsidRPr="00120724" w:rsidRDefault="00D2450D" w:rsidP="00D2450D">
            <w:pPr>
              <w:jc w:val="both"/>
            </w:pPr>
            <w:r w:rsidRPr="00120724">
              <w:t>Постановления Правительства Челябинской области – 3;</w:t>
            </w:r>
          </w:p>
          <w:p w:rsidR="006D0F90" w:rsidRPr="00120724" w:rsidRDefault="00D2450D" w:rsidP="00120724">
            <w:pPr>
              <w:jc w:val="both"/>
            </w:pPr>
            <w:r w:rsidRPr="00120724">
              <w:t xml:space="preserve">Законы Челябинской области </w:t>
            </w:r>
            <w:r w:rsidR="0002516B" w:rsidRPr="00120724">
              <w:t xml:space="preserve">– </w:t>
            </w:r>
            <w:r w:rsidR="00120724" w:rsidRPr="00120724">
              <w:t>2</w:t>
            </w:r>
            <w:r w:rsidRPr="00120724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560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2.</w:t>
            </w:r>
          </w:p>
        </w:tc>
        <w:tc>
          <w:tcPr>
            <w:tcW w:w="5410" w:type="dxa"/>
          </w:tcPr>
          <w:p w:rsidR="006D0F90" w:rsidRPr="00120724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120724">
              <w:t>Проведение антикоррупционной экспертизы действующих 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6D0F90" w:rsidRPr="00120724" w:rsidRDefault="006D0F90" w:rsidP="00B77DE7">
            <w:pPr>
              <w:jc w:val="both"/>
            </w:pPr>
            <w:r w:rsidRPr="00120724">
              <w:t>В 1</w:t>
            </w:r>
            <w:r w:rsidR="003773A8">
              <w:t>-3</w:t>
            </w:r>
            <w:r w:rsidRPr="00120724">
              <w:t xml:space="preserve"> </w:t>
            </w:r>
            <w:r w:rsidR="003773A8">
              <w:t>кварталах</w:t>
            </w:r>
            <w:r w:rsidR="000909B3" w:rsidRPr="00120724">
              <w:t xml:space="preserve"> </w:t>
            </w:r>
            <w:r w:rsidRPr="00120724">
              <w:t xml:space="preserve">2018 г. Министерством здравоохранения </w:t>
            </w:r>
            <w:r w:rsidR="00B322D4" w:rsidRPr="00120724">
              <w:t>Челябинской области подготовлен</w:t>
            </w:r>
            <w:r w:rsidR="0002516B" w:rsidRPr="00120724">
              <w:t>о</w:t>
            </w:r>
            <w:r w:rsidRPr="00120724">
              <w:t xml:space="preserve"> </w:t>
            </w:r>
            <w:r w:rsidR="0002516B" w:rsidRPr="00120724">
              <w:t>2017</w:t>
            </w:r>
            <w:r w:rsidRPr="00120724">
              <w:t xml:space="preserve"> приказ; подготовлены проекты нормативных правовых  актов, а именно:  </w:t>
            </w:r>
          </w:p>
          <w:p w:rsidR="00120724" w:rsidRDefault="00120724" w:rsidP="00B77DE7">
            <w:pPr>
              <w:jc w:val="both"/>
            </w:pPr>
            <w:r>
              <w:t xml:space="preserve">Постановления Губернатора </w:t>
            </w:r>
            <w:r w:rsidR="003773A8">
              <w:t>Челябинской области - 1</w:t>
            </w:r>
          </w:p>
          <w:p w:rsidR="006D0F90" w:rsidRPr="00120724" w:rsidRDefault="006D0F90" w:rsidP="00B77DE7">
            <w:pPr>
              <w:jc w:val="both"/>
            </w:pPr>
            <w:r w:rsidRPr="00120724">
              <w:t xml:space="preserve">Распоряжения Правительства Челябинской области – </w:t>
            </w:r>
            <w:r w:rsidR="000909B3" w:rsidRPr="00120724">
              <w:t>3</w:t>
            </w:r>
            <w:r w:rsidRPr="00120724">
              <w:t xml:space="preserve">; </w:t>
            </w:r>
          </w:p>
          <w:p w:rsidR="006D0F90" w:rsidRPr="00120724" w:rsidRDefault="006D0F90" w:rsidP="00B77DE7">
            <w:pPr>
              <w:jc w:val="both"/>
            </w:pPr>
            <w:r w:rsidRPr="00120724">
              <w:t xml:space="preserve">Постановления Правительства Челябинской области – </w:t>
            </w:r>
            <w:r w:rsidR="00120724">
              <w:t>8</w:t>
            </w:r>
            <w:r w:rsidR="00B77DE7" w:rsidRPr="00120724">
              <w:t>;</w:t>
            </w:r>
          </w:p>
          <w:p w:rsidR="00B77DE7" w:rsidRPr="00120724" w:rsidRDefault="00B77DE7" w:rsidP="00120724">
            <w:pPr>
              <w:jc w:val="both"/>
            </w:pPr>
            <w:r w:rsidRPr="00120724">
              <w:t>Законы Челябинской области -</w:t>
            </w:r>
            <w:r w:rsidR="00C8511D">
              <w:t xml:space="preserve"> </w:t>
            </w:r>
            <w:r w:rsidR="00120724">
              <w:t>6</w:t>
            </w:r>
            <w:r w:rsidRPr="00120724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272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rPr>
                <w:rFonts w:hint="eastAsia"/>
              </w:rPr>
              <w:t xml:space="preserve">процедуры информирования работодателя о </w:t>
            </w:r>
            <w:r w:rsidRPr="00B77DE7">
              <w:rPr>
                <w:rFonts w:hint="eastAsia"/>
              </w:rPr>
              <w:lastRenderedPageBreak/>
              <w:t>возникновении</w:t>
            </w:r>
          </w:p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конфликта интересов и порядка его урегулирования;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B77DE7" w:rsidRDefault="00EE3EF1" w:rsidP="00B77DE7">
            <w:pPr>
              <w:jc w:val="both"/>
            </w:pPr>
            <w:r>
              <w:lastRenderedPageBreak/>
              <w:t>На 01.</w:t>
            </w:r>
            <w:r w:rsidR="0002516B">
              <w:t>10</w:t>
            </w:r>
            <w:r>
              <w:t>.2018</w:t>
            </w:r>
            <w:r w:rsidR="00650489">
              <w:t xml:space="preserve"> </w:t>
            </w:r>
            <w:r w:rsidR="006D0F90" w:rsidRPr="00B77DE7">
              <w:t>г. Министерство здравоохранения Челябинской области осуществля</w:t>
            </w:r>
            <w:r w:rsidR="000909B3">
              <w:t>ет</w:t>
            </w:r>
            <w:r w:rsidR="006D0F90" w:rsidRPr="00B77DE7">
              <w:t xml:space="preserve"> функции и полномочия учредителя в отношении </w:t>
            </w:r>
            <w:r>
              <w:t>14</w:t>
            </w:r>
            <w:r w:rsidR="0002516B">
              <w:t>5</w:t>
            </w:r>
            <w:r w:rsidR="006D0F90" w:rsidRPr="00B77DE7">
              <w:t xml:space="preserve"> организаций.</w:t>
            </w:r>
          </w:p>
          <w:p w:rsidR="00650489" w:rsidRDefault="00AF75C5" w:rsidP="00B77DE7">
            <w:pPr>
              <w:jc w:val="both"/>
            </w:pPr>
            <w:r>
              <w:t xml:space="preserve">По сведениям, представленным учреждениями, в отношении которых Министерство здравоохранения Челябинской области осуществляет функции и полномочия учредителя (далее именуются – учреждения),  во всех учреждениях </w:t>
            </w:r>
            <w:r w:rsidR="006D0F90" w:rsidRPr="00B77DE7">
              <w:t>приказом назначены ответственные за работу по противодействию коррупции</w:t>
            </w:r>
            <w:r w:rsidR="00650489">
              <w:t>.</w:t>
            </w:r>
            <w:r w:rsidR="006D0F90" w:rsidRPr="00B77DE7">
              <w:t xml:space="preserve"> </w:t>
            </w:r>
          </w:p>
          <w:p w:rsidR="006D0F90" w:rsidRPr="00B77DE7" w:rsidRDefault="00650489" w:rsidP="00B77DE7">
            <w:pPr>
              <w:jc w:val="both"/>
            </w:pPr>
            <w:r>
              <w:t xml:space="preserve">Учреждениями ведется работа по приведению  локальных  актов, регулирующих работу по противодействию </w:t>
            </w:r>
            <w:r>
              <w:lastRenderedPageBreak/>
              <w:t>коррупции, в соответствие с нормам</w:t>
            </w:r>
            <w:r w:rsidR="0002516B">
              <w:t>и федерального законодательства</w:t>
            </w:r>
            <w:r>
              <w:t>, таких как: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 порядке сообщения работниками о получении подарка;</w:t>
            </w:r>
          </w:p>
          <w:p w:rsidR="006D0F90" w:rsidRPr="00650489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650489" w:rsidRDefault="006D0F90" w:rsidP="00650489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650489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77DE7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77DE7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обновление  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ознакомление под роспись вновь принятых  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организация работы «телефонов доверия» и интернет-обращений через сайты учреждений в целях сообщений о проявлении фактов коррупции и по вопросам антикоррупционного просвещения.</w:t>
            </w:r>
            <w:r w:rsidRPr="00B7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Мониторинг правоприменения нормативных правовых актов Челябинской области, принятых </w:t>
            </w:r>
            <w:r w:rsidRPr="00B77DE7">
              <w:rPr>
                <w:rFonts w:hint="eastAsia"/>
              </w:rPr>
              <w:lastRenderedPageBreak/>
              <w:t>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lastRenderedPageBreak/>
              <w:t xml:space="preserve">Мониторинг правоприменения нормативных правовых актов Челябинской области осуществляется в соответствии с </w:t>
            </w:r>
            <w:r w:rsidRPr="00B77DE7">
              <w:lastRenderedPageBreak/>
              <w:t>постановлением Губернатора Челябинской области от 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 2018 год, утвержденном распоряжением Губернатора Челябинской области от 27.12.2017 № 1380-р</w:t>
            </w:r>
            <w:r w:rsidR="00AF75C5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27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120724" w:rsidRDefault="00C7766F" w:rsidP="00B77DE7">
            <w:pPr>
              <w:jc w:val="both"/>
            </w:pPr>
            <w:r w:rsidRPr="00120724"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6D0F90" w:rsidRPr="00120724" w:rsidRDefault="00B77DE7" w:rsidP="00DA01CB">
            <w:pPr>
              <w:jc w:val="both"/>
            </w:pPr>
            <w:r w:rsidRPr="00120724">
              <w:t xml:space="preserve">В 1 </w:t>
            </w:r>
            <w:r w:rsidR="00423741" w:rsidRPr="00120724">
              <w:t xml:space="preserve">-3 кварталах </w:t>
            </w:r>
            <w:r w:rsidRPr="00120724">
              <w:t>201</w:t>
            </w:r>
            <w:r w:rsidR="00240346" w:rsidRPr="00120724">
              <w:t>8</w:t>
            </w:r>
            <w:r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A8148E" w:rsidRPr="00120724">
              <w:t xml:space="preserve"> на едином  региональном интернет-портале</w:t>
            </w:r>
            <w:r w:rsidRPr="00120724">
              <w:t xml:space="preserve">  размещались</w:t>
            </w:r>
            <w:r w:rsidR="00DA01CB" w:rsidRPr="00120724">
              <w:t>:</w:t>
            </w:r>
          </w:p>
          <w:p w:rsidR="0046443C" w:rsidRPr="00120724" w:rsidRDefault="0046443C" w:rsidP="0046443C">
            <w:pPr>
              <w:jc w:val="both"/>
            </w:pPr>
            <w:r w:rsidRPr="00120724">
              <w:t>1) проект Закона Челябинской области «О внесении изменений в Закон Челябинской области «О мере социальной поддержки граждан Российской Федерации, заключивших договор о целевом обучении с органом исполнительной власти Челябинской области, осуществляющим полномочия в сфере охраны здоровья граждан»;</w:t>
            </w:r>
          </w:p>
          <w:p w:rsidR="0046443C" w:rsidRPr="00120724" w:rsidRDefault="0046443C" w:rsidP="0046443C">
            <w:pPr>
              <w:jc w:val="both"/>
            </w:pPr>
            <w:r w:rsidRPr="00120724">
              <w:t>2) проект постановления Губернатора Челябинской области «О внесении изменений в постановление Губернатора Челябинской области от 27.07.2004 г. № 383»</w:t>
            </w:r>
            <w:r w:rsidR="00120724" w:rsidRPr="00120724">
              <w:t>(2 редакции)</w:t>
            </w:r>
            <w:r w:rsidRPr="00120724">
              <w:t>;</w:t>
            </w:r>
          </w:p>
          <w:p w:rsidR="0046443C" w:rsidRPr="00120724" w:rsidRDefault="00240346" w:rsidP="0046443C">
            <w:pPr>
              <w:jc w:val="both"/>
            </w:pPr>
            <w:r w:rsidRPr="00120724">
              <w:t xml:space="preserve">3) </w:t>
            </w:r>
            <w:r w:rsidR="0046443C" w:rsidRPr="00120724">
              <w:t>проект постановления Правительства Челябинской области «О внесении изменения в постановление Правительства Челябинской области от 30.10.2012 г. № 602-</w:t>
            </w:r>
            <w:r w:rsidR="0046443C" w:rsidRPr="00120724">
              <w:lastRenderedPageBreak/>
              <w:t>П»;</w:t>
            </w:r>
          </w:p>
          <w:p w:rsidR="0046443C" w:rsidRPr="00120724" w:rsidRDefault="0046443C" w:rsidP="0046443C">
            <w:pPr>
              <w:jc w:val="both"/>
            </w:pPr>
            <w:r w:rsidRPr="00120724">
              <w:t>4) проект закона Челябинской области «О внесении изменений в статью 7 Закона Челябинской области               «О Губернаторе Челябинской области»</w:t>
            </w:r>
            <w:r w:rsidR="00120724" w:rsidRPr="00120724">
              <w:t xml:space="preserve"> (2 редакции);</w:t>
            </w:r>
            <w:r w:rsidRPr="00120724">
              <w:t xml:space="preserve">; </w:t>
            </w:r>
          </w:p>
          <w:p w:rsidR="0046443C" w:rsidRPr="00120724" w:rsidRDefault="00240346" w:rsidP="0046443C">
            <w:pPr>
              <w:jc w:val="both"/>
            </w:pPr>
            <w:r w:rsidRPr="00120724">
              <w:t>5) проект постановления Правительства Челябинской области «О внесении изменений в постановление Правительства Челябинской области                                                    от   25.01.2018 г. № 32-П»;</w:t>
            </w:r>
          </w:p>
          <w:p w:rsidR="0046443C" w:rsidRDefault="00240346" w:rsidP="0046443C">
            <w:pPr>
              <w:jc w:val="both"/>
            </w:pPr>
            <w:r w:rsidRPr="00120724">
              <w:t xml:space="preserve">6) </w:t>
            </w:r>
            <w:r w:rsidR="0046443C" w:rsidRPr="00120724">
              <w:t>проект Закона Челябинской области «О внесении изменений в приложение 1 к Закону Челябинской области «О наделении органов местного самоуправления государственными полномочиями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помощи», проект Закона Челябинской области «Об отдельных вопросах в сфере охраны здоровья граждан в Челябинской области»</w:t>
            </w:r>
            <w:r w:rsidR="00120724" w:rsidRPr="00120724">
              <w:t xml:space="preserve"> (2 редакции);</w:t>
            </w:r>
          </w:p>
          <w:p w:rsidR="00DA01CB" w:rsidRPr="00B77DE7" w:rsidRDefault="007B3FCC" w:rsidP="00423741">
            <w:pPr>
              <w:jc w:val="both"/>
            </w:pPr>
            <w:r>
              <w:t>На</w:t>
            </w:r>
            <w:r w:rsidR="0046443C">
              <w:t xml:space="preserve"> сайте </w:t>
            </w:r>
            <w:r w:rsidR="00240346">
              <w:t>М</w:t>
            </w:r>
            <w:r w:rsidR="0046443C">
              <w:t>инистерства</w:t>
            </w:r>
            <w:r w:rsidR="00240346">
              <w:t xml:space="preserve"> здравоохранения Челябинской области</w:t>
            </w:r>
            <w:r w:rsidR="0046443C">
              <w:t xml:space="preserve"> в целях проведения независимой антикоррупционной экспертизы в 1</w:t>
            </w:r>
            <w:r w:rsidR="00423741">
              <w:t>-3 кварталах</w:t>
            </w:r>
            <w:r w:rsidR="0046443C">
              <w:t xml:space="preserve"> 2018 г. размещен </w:t>
            </w:r>
            <w:r w:rsidR="0046443C" w:rsidRPr="0046443C">
              <w:t xml:space="preserve">Проект постановления Правительства Челябинской области </w:t>
            </w:r>
            <w:r w:rsidR="0046443C">
              <w:t>«</w:t>
            </w:r>
            <w:r w:rsidR="0046443C" w:rsidRPr="0046443C">
              <w:t xml:space="preserve">Об Административном регламенте предоставления государственной услуги </w:t>
            </w:r>
            <w:r w:rsidR="0046443C">
              <w:t>«</w:t>
            </w:r>
            <w:r w:rsidR="0046443C" w:rsidRPr="0046443C"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исполнительней власти)</w:t>
            </w:r>
            <w:r w:rsidR="0046443C">
              <w:t xml:space="preserve">» </w:t>
            </w:r>
            <w:r w:rsidR="0046443C" w:rsidRPr="0046443C">
              <w:t>от 11.05.2018 г.</w:t>
            </w:r>
            <w:r w:rsidR="0046443C">
              <w:t xml:space="preserve"> 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</w:t>
            </w:r>
            <w:r w:rsidR="0046443C">
              <w:lastRenderedPageBreak/>
              <w:t xml:space="preserve">антикоррупционной </w:t>
            </w:r>
            <w:r w:rsidR="00C7766F">
              <w:t xml:space="preserve">и </w:t>
            </w:r>
            <w:r w:rsidR="0046443C">
              <w:t xml:space="preserve"> правовой экспертизы.</w:t>
            </w:r>
            <w:r w:rsidR="00240346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DA01CB" w:rsidP="00A8148E">
            <w:pPr>
              <w:jc w:val="both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>В 1</w:t>
            </w:r>
            <w:r w:rsidR="00423741">
              <w:t>-3 кварталах</w:t>
            </w:r>
            <w:r w:rsidRPr="00B77DE7">
              <w:t xml:space="preserve"> 2018 г. в Министерство здравоохранения Челябинской области поступило </w:t>
            </w:r>
            <w:r w:rsidR="00423741">
              <w:rPr>
                <w:color w:val="000000"/>
              </w:rPr>
              <w:t xml:space="preserve">10584 </w:t>
            </w:r>
            <w:r w:rsidRPr="00B77DE7">
              <w:t>обращени</w:t>
            </w:r>
            <w:r w:rsidR="00423741">
              <w:t>я</w:t>
            </w:r>
            <w:r w:rsidRPr="00B77DE7">
              <w:t>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Заявлений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6D0F90" w:rsidP="00423741">
            <w:pPr>
              <w:jc w:val="both"/>
            </w:pPr>
            <w:r w:rsidRPr="00B77DE7">
              <w:t xml:space="preserve">Анализ результатов рассмотрения вопросов в обращениях граждан за </w:t>
            </w:r>
            <w:r w:rsidR="00423741">
              <w:t xml:space="preserve">1-3 кварталы </w:t>
            </w:r>
            <w:r w:rsidRPr="00B77DE7">
              <w:t>2018 г.  прилагается*.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В Министерстве здравоохранения Челябинской области на постоянной основе проводится работа по мониторингу хода реализации национального плана противодействия коррупции:</w:t>
            </w:r>
          </w:p>
          <w:p w:rsidR="006D0F90" w:rsidRPr="00B77DE7" w:rsidRDefault="00A76ED6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Губернатора Челябинской области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B77DE7" w:rsidRDefault="006D0F90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6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заказов на поставки товаров, выполнение работ, оказание услуг осуществляется Минздравом Челябинской области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F90" w:rsidRPr="000C306C" w:rsidRDefault="00F77361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размещено аукционов</w:t>
            </w:r>
            <w:r w:rsidR="006D0F90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256 на сумму 1 398 360 576,79  руб.; 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313 протоколов рассмотрения заявок на участие в электронном аукционе, из них не состоялись - 139 (1 участник), 27 (0 участников);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117 аукционов в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118 протокол</w:t>
            </w:r>
            <w:r w:rsidR="00B77DE7" w:rsidRPr="000C30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116 контрактов по результатам проведения аукци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онов, на общую цену контрактов 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 xml:space="preserve"> 963 877 861,87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 руб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–76.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Экономия за 1 квартал 2018 года  составила 39 822 787,58  руб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За 2 квартал 2018 года: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азмещено аукционов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518 на сумму 1 699 342 599,80  руб.; 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464 протокола рассмотрения заявок на участие в электронном аукционе, из них не состоялись 224   (1 участник), 66 (0 участников);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228 аукционов в электронной форме;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210 протоколов подведения итогов аукциона в электронной форме;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494 контракта по результатам проведения аукционов, на общую цену контрактов 1 695 035 030,42  рублей, из них заключено контрактов с единственным поставщиком (по п.25 ч.1 ст. 93) –316;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п.4 ч.1 ст.93 заключено 70 контрактов на сумму       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5 005 828,74  руб.</w:t>
            </w:r>
          </w:p>
          <w:p w:rsidR="000C306C" w:rsidRDefault="000C306C" w:rsidP="000C306C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составила 86 204 517,72 руб.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а 3 квартал 2018 года: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Размещено аукционов  в электронной форме 534  на сумму 1 714 845 067,07 руб.; 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Размещено запросов предложений – 44 на сумму 7 950 880,90 руб. 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557 протокола рассмотрения заявок на участие в электронном аукционе, из них не состоялись 255 (1 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участник), 77 (0 участников);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216 аукционов в электронной форме;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204 протокола подведения итогов аукциона в электронной форме;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450 контракта по результатам проведения аукционов, на общую цену контрактов 1 301 165 009,35 рублей, из них заключено контрактов с единственным поставщиком (по п.25 ч.1 ст. 93) –248;</w:t>
            </w:r>
          </w:p>
          <w:p w:rsid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По п.4,28 ч.1 ст.93 заключено 123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на сумму 9 659 933,56 руб.</w:t>
            </w:r>
          </w:p>
          <w:p w:rsidR="00F13DDF" w:rsidRPr="000C306C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 квартале 2018 г. 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составила 53 987 590,53  руб.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sz w:val="24"/>
                <w:szCs w:val="24"/>
                <w:highlight w:val="yellow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3.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Pr="00F77361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Pr="00F773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F7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D6" w:rsidRPr="00A76ED6">
              <w:rPr>
                <w:rFonts w:ascii="Times New Roman" w:hAnsi="Times New Roman" w:cs="Times New Roman"/>
                <w:sz w:val="24"/>
                <w:szCs w:val="24"/>
              </w:rPr>
              <w:t xml:space="preserve">1-3 кварталах 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2018 года о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 В целях обеспечения контроля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</w:t>
            </w:r>
            <w:r w:rsidR="00EC0FAA">
              <w:t>истерством здравоохранения</w:t>
            </w:r>
            <w:r w:rsidRPr="00B77DE7">
              <w:t xml:space="preserve"> Челябинской области: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4.1. Ежемесячно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оборудования;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4.2. Ежемесячно проводятся выездные мероприятия по контролю за эффективным использованием медицинского оборудования согласно утвержденному графику выездов комиссии.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На 2018 год Комиссией </w:t>
            </w:r>
            <w:r w:rsidR="00EC0FAA">
              <w:t>Министерства здравоохранения</w:t>
            </w:r>
            <w:r w:rsidRPr="00B77DE7">
              <w:t xml:space="preserve"> Челябинской области по обеспечению эффективного </w:t>
            </w:r>
            <w:r w:rsidRPr="00B77DE7">
              <w:lastRenderedPageBreak/>
              <w:t xml:space="preserve">использования медицинского оборудования запланированы выездные плановые проверки в 30 медицинских организациях </w:t>
            </w:r>
            <w:r w:rsidR="00EC0FAA">
              <w:t xml:space="preserve">Челябинской </w:t>
            </w:r>
            <w:r w:rsidRPr="00B77DE7">
              <w:t>области.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По состоянию на</w:t>
            </w:r>
            <w:r w:rsidR="00EC0FAA">
              <w:t xml:space="preserve"> 2</w:t>
            </w:r>
            <w:r w:rsidR="00F13DDF">
              <w:t>8</w:t>
            </w:r>
            <w:r w:rsidRPr="00B77DE7">
              <w:t>.0</w:t>
            </w:r>
            <w:r w:rsidR="00F13DDF">
              <w:t>9</w:t>
            </w:r>
            <w:r w:rsidRPr="00B77DE7">
              <w:t xml:space="preserve">.2018 г. проведены плановые мероприятия в рамках контроля за эффективным использованием медицинского оборудования в </w:t>
            </w:r>
            <w:r w:rsidR="00F13DDF">
              <w:t xml:space="preserve">21 </w:t>
            </w:r>
            <w:r w:rsidR="00EC0FAA">
              <w:t>медицинск</w:t>
            </w:r>
            <w:r w:rsidR="00F13DDF">
              <w:t>ой</w:t>
            </w:r>
            <w:r w:rsidR="00EC0FAA" w:rsidRPr="00B77DE7">
              <w:t xml:space="preserve"> </w:t>
            </w:r>
            <w:r w:rsidRPr="00B77DE7">
              <w:t>организаци</w:t>
            </w:r>
            <w:r w:rsidR="00F13DDF">
              <w:t>и</w:t>
            </w:r>
            <w:r w:rsidRPr="00B77DE7">
              <w:t>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4.3. Проводятся мероприятия, совместно с главными внештатными специалистами </w:t>
            </w:r>
            <w:r w:rsidR="00EC0FAA">
              <w:t>Министерством здравоохранения</w:t>
            </w:r>
            <w:r w:rsidR="00EC0FAA" w:rsidRPr="00B77DE7">
              <w:t xml:space="preserve"> </w:t>
            </w:r>
            <w:r w:rsidRPr="00B77DE7">
              <w:t>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  <w:r w:rsidR="00EC0FAA">
              <w:t xml:space="preserve"> </w:t>
            </w:r>
            <w:r w:rsidRPr="00B77DE7">
              <w:t xml:space="preserve">В </w:t>
            </w:r>
            <w:r w:rsidR="00F13DDF">
              <w:t xml:space="preserve">1-3 кварталах </w:t>
            </w:r>
            <w:r w:rsidRPr="00B77DE7">
              <w:t xml:space="preserve">2018 г. проведена работа по перераспределению </w:t>
            </w:r>
            <w:r w:rsidR="00F13DDF">
              <w:t>420</w:t>
            </w:r>
            <w:r w:rsidR="00A33BD8">
              <w:t xml:space="preserve"> </w:t>
            </w:r>
            <w:r w:rsidRPr="00B77DE7">
              <w:t>единиц медицинского оборудования.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A12D35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</w:tcPr>
          <w:p w:rsidR="006D0F90" w:rsidRPr="00B77DE7" w:rsidRDefault="00A12D35" w:rsidP="00A12D3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A12D35" w:rsidRDefault="00A12D35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проводились.</w:t>
            </w:r>
          </w:p>
          <w:p w:rsidR="00A12D35" w:rsidRDefault="00A12D35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6D0F90" w:rsidRPr="00B77DE7" w:rsidRDefault="00A12D35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12D35">
              <w:rPr>
                <w:sz w:val="24"/>
                <w:szCs w:val="24"/>
              </w:rPr>
              <w:t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1-3 кварталах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2018 г.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D2450D">
            <w:pPr>
              <w:jc w:val="both"/>
            </w:pPr>
            <w:r w:rsidRPr="00B77DE7">
              <w:lastRenderedPageBreak/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-  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мер. Срок анализа информации по онлайн-опросу</w:t>
            </w:r>
            <w:r w:rsidR="00A8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– декабрь 2018 г.</w:t>
            </w:r>
          </w:p>
        </w:tc>
        <w:tc>
          <w:tcPr>
            <w:tcW w:w="2561" w:type="dxa"/>
          </w:tcPr>
          <w:p w:rsidR="006D0F90" w:rsidRPr="00B77DE7" w:rsidRDefault="00F77361" w:rsidP="00F77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867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10.</w:t>
            </w:r>
          </w:p>
        </w:tc>
        <w:tc>
          <w:tcPr>
            <w:tcW w:w="5410" w:type="dxa"/>
          </w:tcPr>
          <w:p w:rsidR="006D0F90" w:rsidRPr="00B77DE7" w:rsidRDefault="003D67D9" w:rsidP="00B77DE7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Pr="00B77DE7" w:rsidRDefault="003D67D9" w:rsidP="009618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здравоохранения Челябинской области от 17.09.2018 г. № 1919 утвержден план противодействия коррупции  Министерства здравоохранения Челябинской области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</w:tc>
        <w:tc>
          <w:tcPr>
            <w:tcW w:w="2561" w:type="dxa"/>
          </w:tcPr>
          <w:p w:rsidR="006D0F90" w:rsidRPr="00B77DE7" w:rsidRDefault="003D67D9" w:rsidP="003D6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11.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DE7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>
              <w:rPr>
                <w:bCs/>
              </w:rPr>
              <w:t xml:space="preserve">            </w:t>
            </w:r>
            <w:r w:rsidRPr="00B77DE7">
              <w:rPr>
                <w:bCs/>
              </w:rPr>
              <w:t xml:space="preserve">№ 293-П (ред. от 24.08.2016) «О Порядке разработки и утверждения административных регламентов </w:t>
            </w:r>
            <w:r w:rsidRPr="00B77DE7">
              <w:rPr>
                <w:bCs/>
              </w:rPr>
              <w:lastRenderedPageBreak/>
              <w:t>предоставления государственных услуг органами исполнительной власти Челябинской области».</w:t>
            </w:r>
          </w:p>
          <w:p w:rsidR="006D0F90" w:rsidRDefault="00A8148E" w:rsidP="00A8148E">
            <w:pPr>
              <w:jc w:val="both"/>
            </w:pPr>
            <w:r>
              <w:rPr>
                <w:bCs/>
              </w:rPr>
              <w:t>В 1 квартале 2018 г.</w:t>
            </w:r>
            <w:r w:rsidR="006D0F90" w:rsidRPr="00B77DE7">
              <w:rPr>
                <w:bCs/>
              </w:rPr>
              <w:t xml:space="preserve"> </w:t>
            </w:r>
            <w:r>
              <w:rPr>
                <w:bCs/>
              </w:rPr>
              <w:t xml:space="preserve">вступило в силу </w:t>
            </w:r>
            <w:r>
              <w:t>Постановление Правительства Челябинской области № 32-П от 25 января 2018 года «Об Административном регламенте предоставления государственной услуги «Выдача разрешения на занятие народной медициной».</w:t>
            </w:r>
          </w:p>
          <w:p w:rsidR="001903D6" w:rsidRDefault="00233829" w:rsidP="001903D6">
            <w:pPr>
              <w:jc w:val="both"/>
            </w:pPr>
            <w:r>
              <w:t>Во 2 квартале</w:t>
            </w:r>
            <w:r w:rsidR="00961851">
              <w:t xml:space="preserve"> 2018 г.</w:t>
            </w:r>
            <w:r>
              <w:t xml:space="preserve"> </w:t>
            </w:r>
            <w:r w:rsidR="001903D6">
              <w:t>проект постановления Правительства Челябинской области «Об Административном регламенте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и признании утратившими силу некоторых постановлений Правительства Челябинской области»:</w:t>
            </w:r>
          </w:p>
          <w:p w:rsidR="001903D6" w:rsidRDefault="001903D6" w:rsidP="001903D6">
            <w:pPr>
              <w:jc w:val="both"/>
            </w:pPr>
            <w:r>
              <w:t>- прошел процедуру согласования с юридическим отделом управления кадрового и правового обеспечения Министерства здравоохранения Челябинской области</w:t>
            </w:r>
          </w:p>
          <w:p w:rsidR="00233829" w:rsidRDefault="001903D6" w:rsidP="001903D6">
            <w:pPr>
              <w:jc w:val="both"/>
            </w:pPr>
            <w:r>
              <w:t>- прошел публичные слушания, посредствам размещения на официальном сайте Министерства здравоохранения Челябинской области и портале npa.gov.74.ru.</w:t>
            </w:r>
          </w:p>
          <w:p w:rsidR="00961851" w:rsidRDefault="00961851" w:rsidP="00961851">
            <w:pPr>
              <w:jc w:val="both"/>
            </w:pPr>
            <w:r>
              <w:t xml:space="preserve">В 3 квартале 2018 г. </w:t>
            </w:r>
            <w:r w:rsidRPr="00961851">
              <w:t>изменения</w:t>
            </w:r>
            <w:r w:rsidR="00175710">
              <w:t xml:space="preserve"> </w:t>
            </w:r>
            <w:r w:rsidRPr="00961851">
              <w:t xml:space="preserve"> вн</w:t>
            </w:r>
            <w:r>
              <w:t>есены</w:t>
            </w:r>
            <w:r w:rsidRPr="00961851">
              <w:t xml:space="preserve"> </w:t>
            </w:r>
            <w:r>
              <w:t>в:</w:t>
            </w:r>
          </w:p>
          <w:p w:rsidR="00961851" w:rsidRDefault="00961851" w:rsidP="00961851">
            <w:pPr>
              <w:jc w:val="both"/>
            </w:pPr>
            <w:r>
              <w:t>-</w:t>
            </w:r>
            <w:r w:rsidRPr="00961851">
              <w:t xml:space="preserve"> Административный регламент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</w:t>
            </w:r>
            <w:r>
              <w:t xml:space="preserve"> (</w:t>
            </w:r>
            <w:r w:rsidRPr="00961851">
              <w:t>Постановление Правительства Челябинской области № 344-П от 31 июля 2018 года «О внесении изменений в постановление Правительства Челябинской области от 20.10.2017 г. № 562-П»</w:t>
            </w:r>
            <w:r>
              <w:t>);</w:t>
            </w:r>
          </w:p>
          <w:p w:rsidR="003D67D9" w:rsidRPr="00B77DE7" w:rsidRDefault="00961851" w:rsidP="00175710">
            <w:pPr>
              <w:jc w:val="both"/>
            </w:pPr>
            <w:r>
              <w:t xml:space="preserve">- </w:t>
            </w:r>
            <w:r w:rsidR="00175710">
              <w:t xml:space="preserve">Административный регламент предоставления государственной услуги «Прием заявлений, постановка на учет и предоставление информации об организации оказания </w:t>
            </w:r>
            <w:r w:rsidR="00175710">
              <w:lastRenderedPageBreak/>
              <w:t>высокотехнологичной медицинской помощи» (</w:t>
            </w:r>
            <w:r w:rsidR="00175710" w:rsidRPr="00175710">
              <w:t>Постановление Правительства Челябинской области № 343-П от 31 июля 2018 года «О внесении изменения в постановление Правительства Челябинской области от 30.10.2012 г. № 602-П»</w:t>
            </w:r>
            <w:r w:rsidR="00175710">
              <w:t>).</w:t>
            </w:r>
            <w:r w:rsidR="00175710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A8148E" w:rsidP="00A814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6552" w:type="dxa"/>
          </w:tcPr>
          <w:p w:rsidR="006D0F90" w:rsidRDefault="006D0F90" w:rsidP="00B77DE7">
            <w:pPr>
              <w:jc w:val="both"/>
            </w:pPr>
            <w:r w:rsidRPr="00B77DE7">
              <w:t xml:space="preserve">Предварительная экспертиза проектов административных регламентов </w:t>
            </w:r>
            <w:r w:rsidR="001903D6">
              <w:t>Министерства здравоохранения</w:t>
            </w:r>
            <w:r w:rsidRPr="00B77DE7">
              <w:t xml:space="preserve"> Челябинской области осуществляется юридическим отделом управления  кадрового и правового обеспечения Министерства здравоохранения Челябинской области в соответствии с Федеральным законом от 27.07.2010 г. № 210-ФЗ (ред. от 28.12.2016)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24.08.2016) «О Порядке проведения экспертизы проектов административных регламентов, разработанных органами исполнительной власти Челябинской области».</w:t>
            </w:r>
          </w:p>
          <w:p w:rsidR="006D0F90" w:rsidRDefault="001903D6" w:rsidP="001903D6">
            <w:pPr>
              <w:jc w:val="both"/>
            </w:pPr>
            <w:r>
              <w:t xml:space="preserve">Во 2 квартале 2018 года проводилась предварительная экспертиза </w:t>
            </w:r>
            <w:r w:rsidRPr="001903D6">
              <w:t>проект</w:t>
            </w:r>
            <w:r>
              <w:t>а</w:t>
            </w:r>
            <w:r w:rsidRPr="001903D6">
              <w:t xml:space="preserve"> постановления Правительства Челябинской области «Об Административном регламенте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и признании утратившими силу некоторых постановлений Правительства Челябинской области»</w:t>
            </w:r>
            <w:r>
              <w:t>.</w:t>
            </w:r>
            <w:r w:rsidRPr="00B77DE7">
              <w:t xml:space="preserve"> </w:t>
            </w:r>
          </w:p>
          <w:p w:rsidR="00175710" w:rsidRPr="00B77DE7" w:rsidRDefault="00175710" w:rsidP="00175710">
            <w:pPr>
              <w:jc w:val="both"/>
            </w:pPr>
            <w:r>
              <w:t xml:space="preserve">В 3 квартале 2018 года  проводилась предварительная экспертиза проекта постановления Правительства Челябинской области № 343-П от 31 июля 2018 года «О внесении изменения в постановление Правительства Челябинской области от 30.10.2012 г. № 602-П об Административном регламенте предоставления государственной услуги «Прием заявлений, постановка на учет и предоставление информации об организации оказания </w:t>
            </w:r>
            <w:r>
              <w:lastRenderedPageBreak/>
              <w:t>высокотехнологичной медицинской помощи».</w:t>
            </w:r>
          </w:p>
        </w:tc>
        <w:tc>
          <w:tcPr>
            <w:tcW w:w="2561" w:type="dxa"/>
          </w:tcPr>
          <w:p w:rsidR="006D0F90" w:rsidRPr="00B77DE7" w:rsidRDefault="00233829" w:rsidP="00233829">
            <w:pPr>
              <w:jc w:val="center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 w:rsidRPr="00B77DE7">
              <w:rPr>
                <w:color w:val="000000"/>
                <w:shd w:val="clear" w:color="auto" w:fill="FFFFFF"/>
              </w:rPr>
              <w:t xml:space="preserve">В 1 кв. 2018 г. </w:t>
            </w:r>
            <w:r w:rsidRPr="00B77DE7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B77DE7">
              <w:rPr>
                <w:color w:val="000000"/>
              </w:rPr>
              <w:t xml:space="preserve"> проведено </w:t>
            </w:r>
            <w:r w:rsidR="007D2C9B">
              <w:rPr>
                <w:color w:val="000000"/>
              </w:rPr>
              <w:t xml:space="preserve">              </w:t>
            </w:r>
            <w:r w:rsidRPr="00B77DE7">
              <w:rPr>
                <w:color w:val="000000"/>
              </w:rPr>
              <w:t xml:space="preserve">256  антикоррупционных экспертиз, </w:t>
            </w:r>
            <w:r w:rsidR="001903D6">
              <w:rPr>
                <w:color w:val="000000"/>
              </w:rPr>
              <w:t xml:space="preserve">во 2 кв. 2018 г. </w:t>
            </w:r>
            <w:r w:rsidR="007D2C9B">
              <w:rPr>
                <w:color w:val="000000"/>
              </w:rPr>
              <w:t xml:space="preserve">- </w:t>
            </w:r>
            <w:r w:rsidR="001903D6">
              <w:rPr>
                <w:color w:val="000000"/>
              </w:rPr>
              <w:t>518</w:t>
            </w:r>
            <w:r w:rsidR="001903D6">
              <w:t xml:space="preserve"> </w:t>
            </w:r>
            <w:r w:rsidR="001903D6" w:rsidRPr="001903D6">
              <w:rPr>
                <w:color w:val="000000"/>
              </w:rPr>
              <w:t>антикоррупционных экспертиз</w:t>
            </w:r>
            <w:r w:rsidR="00175710">
              <w:rPr>
                <w:color w:val="000000"/>
              </w:rPr>
              <w:t xml:space="preserve">, в 3 квартале - 534 антикоррупционных экспертиз </w:t>
            </w:r>
            <w:r w:rsidR="001903D6">
              <w:rPr>
                <w:color w:val="000000"/>
              </w:rPr>
              <w:t xml:space="preserve"> документации о закупках для нужд Минздрава Челябинской области </w:t>
            </w:r>
            <w:r w:rsidRPr="00B77DE7">
              <w:rPr>
                <w:color w:val="000000"/>
              </w:rPr>
              <w:t xml:space="preserve">на </w:t>
            </w:r>
            <w:r w:rsidRPr="00B77DE7">
              <w:rPr>
                <w:rStyle w:val="highlight"/>
              </w:rPr>
              <w:t>выявление:</w:t>
            </w:r>
          </w:p>
          <w:p w:rsidR="006D0F90" w:rsidRPr="00B77DE7" w:rsidRDefault="006D0F90" w:rsidP="001903D6">
            <w:pPr>
              <w:jc w:val="both"/>
            </w:pPr>
            <w:r w:rsidRPr="00B77DE7"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4)</w:t>
            </w:r>
            <w:r w:rsidR="00175710">
              <w:rPr>
                <w:color w:val="000000"/>
                <w:shd w:val="clear" w:color="auto" w:fill="FFFFFF"/>
              </w:rPr>
              <w:t xml:space="preserve"> </w:t>
            </w:r>
            <w:r w:rsidRPr="00B77DE7">
              <w:rPr>
                <w:color w:val="000000"/>
                <w:shd w:val="clear" w:color="auto" w:fill="FFFFFF"/>
              </w:rPr>
              <w:t>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B77DE7" w:rsidRDefault="00C7766F" w:rsidP="001903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="006D0F90" w:rsidRPr="00B77DE7">
              <w:t>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соответствии с п. 4. ст. 97 </w:t>
            </w:r>
            <w:r w:rsidRPr="00B77DE7">
              <w:rPr>
                <w:bCs/>
                <w:kern w:val="36"/>
              </w:rPr>
              <w:t>Федерального закона от 05.04.2013 № 44-ФЗ</w:t>
            </w:r>
            <w:r w:rsidRPr="00B77DE7">
              <w:t xml:space="preserve"> </w:t>
            </w:r>
            <w:r w:rsidRPr="00B77DE7">
              <w:rPr>
                <w:bCs/>
                <w:kern w:val="36"/>
              </w:rPr>
              <w:t>«О контрактной системе в сфере закупок товаров, работ, услуг для обеспечения государственных и муниципальных нужд» (ред. от 29.07.2017 г.) м</w:t>
            </w:r>
            <w:r w:rsidRPr="00B77DE7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</w:p>
          <w:p w:rsidR="006D0F90" w:rsidRPr="00B77DE7" w:rsidRDefault="006D0F90" w:rsidP="00B77DE7">
            <w:pPr>
              <w:jc w:val="both"/>
            </w:pPr>
            <w:r w:rsidRPr="00B77DE7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межведомственного электронного </w:t>
            </w:r>
            <w:r w:rsidRPr="00B77DE7">
              <w:rPr>
                <w:rFonts w:hint="eastAsia"/>
              </w:rPr>
              <w:lastRenderedPageBreak/>
              <w:t>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C8511D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 w:rsidRPr="00B77DE7">
              <w:rPr>
                <w:sz w:val="24"/>
                <w:szCs w:val="24"/>
              </w:rPr>
              <w:lastRenderedPageBreak/>
              <w:t xml:space="preserve">В рамках реализации Порядка </w:t>
            </w:r>
            <w:r w:rsidRPr="00B77DE7">
              <w:rPr>
                <w:color w:val="000000"/>
                <w:sz w:val="24"/>
                <w:szCs w:val="24"/>
              </w:rPr>
              <w:t xml:space="preserve">взаимодействия при </w:t>
            </w:r>
            <w:r w:rsidRPr="00B77DE7">
              <w:rPr>
                <w:color w:val="000000"/>
                <w:sz w:val="24"/>
                <w:szCs w:val="24"/>
              </w:rPr>
              <w:lastRenderedPageBreak/>
              <w:t xml:space="preserve">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B77DE7">
              <w:rPr>
                <w:sz w:val="24"/>
                <w:szCs w:val="24"/>
              </w:rPr>
              <w:t xml:space="preserve">межведомственный электронный  документооборот при закупках товаров, работ, услуг для обеспечения нужд </w:t>
            </w:r>
            <w:r w:rsidR="007D2C9B" w:rsidRPr="007D2C9B">
              <w:rPr>
                <w:sz w:val="24"/>
                <w:szCs w:val="24"/>
              </w:rPr>
              <w:t>Министерства здравоохранения</w:t>
            </w:r>
            <w:r w:rsidRPr="00B77DE7">
              <w:rPr>
                <w:sz w:val="24"/>
                <w:szCs w:val="24"/>
              </w:rPr>
              <w:t xml:space="preserve"> Челябинской области</w:t>
            </w:r>
            <w:r w:rsidR="00C7766F">
              <w:rPr>
                <w:sz w:val="24"/>
                <w:szCs w:val="24"/>
              </w:rPr>
              <w:t>.</w:t>
            </w:r>
            <w:r w:rsidR="00C8511D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Министерством здравоохранения Челябинской области </w:t>
            </w:r>
            <w:r w:rsidR="009B27C6">
              <w:t xml:space="preserve">обеспечивается исполнение </w:t>
            </w:r>
            <w:r w:rsidRPr="00B77DE7">
              <w:t>запрет</w:t>
            </w:r>
            <w:r w:rsidR="009B27C6">
              <w:t>а</w:t>
            </w:r>
            <w:r w:rsidRPr="00B77DE7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области. нарушений не выявлено.</w:t>
            </w:r>
          </w:p>
          <w:p w:rsidR="006D0F90" w:rsidRPr="00B77DE7" w:rsidRDefault="006D0F90" w:rsidP="00B77DE7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rPr>
                <w:color w:val="000000" w:themeColor="text1"/>
              </w:rPr>
              <w:t xml:space="preserve">9 января  2018  г. 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именуется – Комиссия) на 2018 год. 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В </w:t>
            </w:r>
            <w:r w:rsidR="008F4F04">
              <w:t>1-3 кварталах</w:t>
            </w:r>
            <w:r w:rsidRPr="00B77DE7">
              <w:t xml:space="preserve">  2018  г. состоял</w:t>
            </w:r>
            <w:r w:rsidR="008F4F04">
              <w:t>о</w:t>
            </w:r>
            <w:r w:rsidRPr="00B77DE7">
              <w:t xml:space="preserve">сь </w:t>
            </w:r>
            <w:r w:rsidR="008F4F04">
              <w:t>5</w:t>
            </w:r>
            <w:r w:rsidR="007D2C9B">
              <w:t xml:space="preserve"> </w:t>
            </w:r>
            <w:r w:rsidRPr="00B77DE7">
              <w:t>заседан</w:t>
            </w:r>
            <w:r w:rsidR="008F4F04">
              <w:t>ий</w:t>
            </w:r>
            <w:r w:rsidRPr="00B77DE7">
              <w:t xml:space="preserve">  Комиссии с участием представителей Управления государственной службы Правительства Челябинской области, ФГБОУ ВО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Default="006D0F90" w:rsidP="00B77DE7">
            <w:pPr>
              <w:pStyle w:val="a3"/>
              <w:jc w:val="both"/>
            </w:pPr>
            <w:r w:rsidRPr="00B77DE7">
              <w:t xml:space="preserve"> - доклад о принятых Министром здравоохранения Челябинской области решениях о применении к руководителям государственных учреждений, в отношении которых Министерство здравоохранения Челябинской </w:t>
            </w:r>
            <w:r w:rsidRPr="00B77DE7">
              <w:lastRenderedPageBreak/>
              <w:t xml:space="preserve">области выполняет функции и полномочия учредителя, мер ответственности с учетом рекомендаций Комиссии; </w:t>
            </w:r>
          </w:p>
          <w:p w:rsidR="007D2C9B" w:rsidRPr="00B77DE7" w:rsidRDefault="007D2C9B" w:rsidP="00B77DE7">
            <w:pPr>
              <w:pStyle w:val="a3"/>
              <w:jc w:val="both"/>
            </w:pPr>
            <w:r>
              <w:t>-  доклад о результатах анализа сведений государственных гражданских служащих Министерства здравоохранения Челябинской области и  руководителей государственных учреждений, в отношении которых Министерство здравоохранения Челябинской области выполняет функции и полномочия учредителя, о доходах, расходах, об имуществе и обязательствах имущественного характера за 201</w:t>
            </w:r>
            <w:r w:rsidR="0016728D">
              <w:t>7</w:t>
            </w:r>
            <w:r>
              <w:t xml:space="preserve"> год в сравнении с 201</w:t>
            </w:r>
            <w:r w:rsidR="0016728D">
              <w:t>6</w:t>
            </w:r>
            <w:r>
              <w:t xml:space="preserve"> годом;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- </w:t>
            </w:r>
            <w:r w:rsidR="008F4F04">
              <w:t>10</w:t>
            </w:r>
            <w:r w:rsidRPr="00B77DE7">
              <w:t xml:space="preserve"> уведомлени</w:t>
            </w:r>
            <w:r w:rsidR="007D2C9B">
              <w:t xml:space="preserve">й руководителей </w:t>
            </w:r>
            <w:r w:rsidRPr="00B77DE7">
              <w:t xml:space="preserve"> коммерческ</w:t>
            </w:r>
            <w:r w:rsidR="007D2C9B">
              <w:t>их и некоммерческих</w:t>
            </w:r>
            <w:r w:rsidRPr="00B77DE7">
              <w:t xml:space="preserve"> организаци</w:t>
            </w:r>
            <w:r w:rsidR="007D2C9B">
              <w:t>й</w:t>
            </w:r>
            <w:r w:rsidRPr="00B77DE7">
              <w:t xml:space="preserve"> о заключении трудового договора с гражданином, 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>-</w:t>
            </w:r>
            <w:r w:rsidR="007D2C9B">
              <w:t xml:space="preserve"> 5</w:t>
            </w:r>
            <w:r w:rsidRPr="00B77DE7">
              <w:t xml:space="preserve"> уведомлени</w:t>
            </w:r>
            <w:r w:rsidR="007D2C9B">
              <w:t>й</w:t>
            </w:r>
            <w:r w:rsidRPr="00B77DE7">
              <w:t xml:space="preserve"> государственного гражданского служащего Министерства здравоохранения Челябинской области о намерении выполнять иную оплачиваемую работу; </w:t>
            </w:r>
          </w:p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</w:t>
            </w:r>
            <w:r w:rsidR="007D2C9B">
              <w:t xml:space="preserve"> </w:t>
            </w:r>
            <w:r w:rsidRPr="00B77DE7">
              <w:t>3 уведомления руководителей государственных  учреждений, в отношении которых Министерство здравоохранения Челябинской области осуществляет функции и полномочия учредителя,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7D2C9B">
              <w:t>;</w:t>
            </w:r>
          </w:p>
          <w:p w:rsidR="007D2C9B" w:rsidRDefault="007D2C9B" w:rsidP="00B77DE7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4F04">
              <w:t>2</w:t>
            </w:r>
            <w:r>
              <w:t xml:space="preserve"> обращени</w:t>
            </w:r>
            <w:r w:rsidR="008F4F04">
              <w:t>я</w:t>
            </w:r>
            <w:r>
              <w:t xml:space="preserve"> гражданина, ранее замещавшего должность государственной гражданской службы</w:t>
            </w:r>
            <w:r w:rsidR="00E403D6">
              <w:t xml:space="preserve"> в Министерстве здравоохранения Челябинской области</w:t>
            </w:r>
            <w:r>
              <w:t>, о даче согласия на замещение должности в некоммерческой организации.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</w:t>
            </w:r>
            <w:r w:rsidRPr="00B77DE7">
              <w:lastRenderedPageBreak/>
              <w:t xml:space="preserve">постановлением Губернатора Челябинской области от 25.08.2010 г.  № 246 (ред. от 24.02.2016 г.), а именно: </w:t>
            </w:r>
          </w:p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 информация о принятых Министром здравоохранения Челябинской области решениях о применении к 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 принята Комиссией к сведению;</w:t>
            </w:r>
          </w:p>
          <w:p w:rsidR="00E403D6" w:rsidRPr="00B77DE7" w:rsidRDefault="00E403D6" w:rsidP="00B77DE7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403D6">
              <w:t xml:space="preserve">анализ сведений государственных гражданских служащих и руководителей государственных учреждений о доходах, расходах, об имуществе и обязательствах имущественного характера за 2017 год в сравнении с 2016 годом </w:t>
            </w:r>
            <w:r>
              <w:t xml:space="preserve">признан </w:t>
            </w:r>
            <w:r w:rsidRPr="00E403D6">
              <w:t>проведен</w:t>
            </w:r>
            <w:r>
              <w:t>ным</w:t>
            </w:r>
            <w:r w:rsidRPr="00E403D6">
              <w:t xml:space="preserve"> в полном объеме</w:t>
            </w:r>
            <w:r>
              <w:t xml:space="preserve">, согласована </w:t>
            </w:r>
            <w:r w:rsidRPr="00E403D6">
              <w:t>возможность проведения проверки по результатам анализа сведений государственных гражданских служащих и руководителей государственных учреждений о доходах, расходах, об имуществе и обязательствах имущественного характера за 2017 год в сравнении с 2016 годом</w:t>
            </w:r>
            <w:r>
              <w:t>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выполнение иной оплачиваемой работы не влечет за собой конфликта интересов (в </w:t>
            </w:r>
            <w:r w:rsidR="00E403D6">
              <w:t>5</w:t>
            </w:r>
            <w:r w:rsidRPr="00B77DE7">
              <w:t xml:space="preserve"> случаях);</w:t>
            </w:r>
          </w:p>
          <w:p w:rsidR="00E403D6" w:rsidRDefault="006D0F90" w:rsidP="00E403D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77DE7">
              <w:t xml:space="preserve">- </w:t>
            </w:r>
            <w:r w:rsidRPr="00B77DE7">
              <w:rPr>
                <w:color w:val="000000"/>
              </w:rPr>
              <w:t xml:space="preserve">требования </w:t>
            </w:r>
            <w:r w:rsidR="00E403D6">
              <w:rPr>
                <w:color w:val="000000"/>
              </w:rPr>
              <w:t xml:space="preserve">ч. 2 </w:t>
            </w:r>
            <w:r w:rsidRPr="00B77DE7">
              <w:rPr>
                <w:color w:val="000000"/>
              </w:rPr>
              <w:t xml:space="preserve">ст. 12 Федерального закона от 25.12.2008 г. </w:t>
            </w:r>
            <w:r w:rsidR="00E403D6">
              <w:rPr>
                <w:color w:val="000000"/>
              </w:rPr>
              <w:t xml:space="preserve">     </w:t>
            </w:r>
            <w:r w:rsidRPr="00B77DE7">
              <w:rPr>
                <w:color w:val="000000"/>
              </w:rPr>
              <w:t>№ 273-ФЗ «О противодействии коррупции» в отношении  гражданина, ранее за</w:t>
            </w:r>
            <w:r w:rsidR="00E403D6">
              <w:rPr>
                <w:color w:val="000000"/>
              </w:rPr>
              <w:t>мещавшего</w:t>
            </w:r>
            <w:r w:rsidRPr="00B77DE7">
              <w:rPr>
                <w:color w:val="000000"/>
              </w:rPr>
              <w:t xml:space="preserve"> должность государственной гражданской службы Министерства здравоохранения Челябинской области, бывшим гос. гражданским служащим  выполнены (в </w:t>
            </w:r>
            <w:r w:rsidR="0016728D">
              <w:rPr>
                <w:color w:val="000000"/>
              </w:rPr>
              <w:t>к10</w:t>
            </w:r>
            <w:r w:rsidRPr="00B77DE7">
              <w:rPr>
                <w:color w:val="000000"/>
              </w:rPr>
              <w:t xml:space="preserve"> случаях); </w:t>
            </w:r>
            <w:r w:rsidR="00E403D6">
              <w:rPr>
                <w:color w:val="000000"/>
              </w:rPr>
              <w:t xml:space="preserve"> при этом требования ч.1 ст. 12 Федерального закона от 25.12.2008 г. № 273-ФЗ «О противодействии коррупции» бывшим гос. гражданским служащим Министерства здравоохранения Челябинской области не  выполнены в 1 случае (по решению Комиссии выписка из протокола направлена в Прокуратуру Челябинской области); </w:t>
            </w:r>
          </w:p>
          <w:p w:rsidR="00E403D6" w:rsidRDefault="00E403D6" w:rsidP="00E403D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дать согласие на замещение должности в некоммерческой </w:t>
            </w:r>
            <w:r>
              <w:lastRenderedPageBreak/>
              <w:t>организации гражданину, ранее замещавшему должность государственной гражданской службы в Министерстве здравоохранения Челябинской области</w:t>
            </w:r>
            <w:r w:rsidR="004931AF">
              <w:t xml:space="preserve"> (в </w:t>
            </w:r>
            <w:r w:rsidR="0016728D">
              <w:t>2</w:t>
            </w:r>
            <w:r w:rsidR="004931AF">
              <w:t xml:space="preserve"> случа</w:t>
            </w:r>
            <w:r w:rsidR="0016728D">
              <w:t>ях</w:t>
            </w:r>
            <w:r w:rsidR="004931AF">
              <w:t>)</w:t>
            </w:r>
            <w:r>
              <w:t>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77DE7">
              <w:t>- работа родственников под непосредственным руководством руководителя учреждения является основанием для возникновения личной заинтересованности и приводит или может привести к конфликту интересов; Министру здравоохранения Челябинской области и руководителю учреждения рекомендовано принять меры по недопущению и урегулированию конфликта интересов (в 3 случаях).</w:t>
            </w:r>
          </w:p>
          <w:p w:rsidR="006D0F90" w:rsidRDefault="007D2C9B" w:rsidP="00B77DE7">
            <w:pPr>
              <w:jc w:val="both"/>
            </w:pPr>
            <w:r>
              <w:t>По решению Комиссии в установленном порядке в</w:t>
            </w:r>
            <w:r w:rsidR="006D0F90" w:rsidRPr="00B77DE7">
              <w:t>ыписки из протоколов заседаний Комиссии вруч</w:t>
            </w:r>
            <w:r>
              <w:t>аются</w:t>
            </w:r>
            <w:r w:rsidR="006D0F90" w:rsidRPr="00B77DE7">
              <w:t xml:space="preserve"> государственным  гражданским служащим</w:t>
            </w:r>
            <w:r>
              <w:t xml:space="preserve"> и руководителям учреждений, направляются информационные письма работодателям.</w:t>
            </w:r>
          </w:p>
          <w:p w:rsidR="006D0F90" w:rsidRDefault="006D0F90" w:rsidP="00B77DE7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 области размещена информация о 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      </w:r>
          </w:p>
          <w:p w:rsidR="00873941" w:rsidRDefault="00873941" w:rsidP="004931AF">
            <w:pPr>
              <w:pStyle w:val="a3"/>
              <w:jc w:val="both"/>
            </w:pPr>
            <w:r>
              <w:t>Во 2 квартале 2018 года член</w:t>
            </w:r>
            <w:r w:rsidR="004931AF">
              <w:t>ы Комиссии</w:t>
            </w:r>
            <w:r>
              <w:t xml:space="preserve"> ознакомлены с </w:t>
            </w:r>
            <w:r w:rsidR="004931AF">
              <w:t xml:space="preserve">«Обзором практики правоприменения в сфере конфликта интересов № 1» </w:t>
            </w:r>
            <w:r>
              <w:t>(письмо Мин</w:t>
            </w:r>
            <w:r w:rsidR="004931AF">
              <w:t xml:space="preserve">истерства </w:t>
            </w:r>
            <w:r>
              <w:t>труда и соц. защиты РФ от 29.03.2018 № 18-0/10/п-206)</w:t>
            </w:r>
            <w:r w:rsidR="004931AF">
              <w:t>.</w:t>
            </w:r>
          </w:p>
          <w:p w:rsidR="007350EE" w:rsidRPr="00B77DE7" w:rsidRDefault="007350EE" w:rsidP="007350EE">
            <w:pPr>
              <w:pStyle w:val="a3"/>
              <w:jc w:val="both"/>
            </w:pPr>
            <w:r>
              <w:t>В 3 квартале 2018 г. члены Комиссии ознакомлены с «Методическими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 » (письмо Министерства труда и соц. защиты РФ от 26.07.2018 г. № 18-0/10/п-5146).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B77DE7">
            <w:pPr>
              <w:autoSpaceDE w:val="0"/>
              <w:autoSpaceDN w:val="0"/>
              <w:adjustRightInd w:val="0"/>
              <w:jc w:val="both"/>
            </w:pPr>
            <w:r w:rsidRPr="007350EE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</w:t>
            </w:r>
            <w:r w:rsidRPr="007350EE">
              <w:lastRenderedPageBreak/>
              <w:t>Министерством труда и социальной защиты Российской Федерации, в целях проверки достоверности и полноты представляемых гражданскими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lastRenderedPageBreak/>
              <w:t xml:space="preserve">Внедрение в деятельность кадровой службы </w:t>
            </w:r>
            <w:r w:rsidR="00AF75C5">
              <w:rPr>
                <w:color w:val="000000"/>
              </w:rPr>
              <w:t xml:space="preserve">Министерства здравоохранения </w:t>
            </w:r>
            <w:r w:rsidRPr="00B77DE7">
              <w:t xml:space="preserve">Челябинской области компьютерных программ в целях проверки достоверности и полноты, </w:t>
            </w:r>
            <w:r w:rsidRPr="00B77DE7">
              <w:lastRenderedPageBreak/>
              <w:t xml:space="preserve">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 </w:t>
            </w:r>
          </w:p>
          <w:p w:rsidR="007350EE" w:rsidRPr="00B77DE7" w:rsidRDefault="006D0F90" w:rsidP="007350EE">
            <w:pPr>
              <w:pStyle w:val="a3"/>
              <w:jc w:val="both"/>
            </w:pPr>
            <w:r w:rsidRPr="00B77DE7">
              <w:t xml:space="preserve">В 1 </w:t>
            </w:r>
            <w:r w:rsidR="007350EE">
              <w:t xml:space="preserve">-2 </w:t>
            </w:r>
            <w:r w:rsidRPr="00B77DE7">
              <w:t>квартал</w:t>
            </w:r>
            <w:r w:rsidR="007350EE">
              <w:t>ах</w:t>
            </w:r>
            <w:r w:rsidRPr="00B77DE7">
              <w:t xml:space="preserve"> 2018 г. в целях обеспечения достоверности и полноты представляемых сведений даны рекомендации </w:t>
            </w:r>
            <w:r w:rsidR="00A2162A" w:rsidRPr="00A2162A">
              <w:t xml:space="preserve">государственным </w:t>
            </w:r>
            <w:r w:rsidRPr="00B77DE7">
              <w:t>гражданским служащим и руководителям подведомственных учреждений по заполнению сведений в последней версии Специального программного обеспечения  «Справки БК».</w:t>
            </w:r>
            <w:r w:rsidR="007350EE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lastRenderedPageBreak/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t>В срок до 30 апреля 201</w:t>
            </w:r>
            <w:r w:rsidR="00AF75C5">
              <w:t>8</w:t>
            </w:r>
            <w:r w:rsidRPr="00D9790A">
              <w:t xml:space="preserve"> г. представлены сведения о доходах, об имуществе и обязательствах имущественного характера государственными гражданскими служащими </w:t>
            </w:r>
            <w:r w:rsidR="00AF75C5">
              <w:rPr>
                <w:color w:val="000000"/>
              </w:rPr>
              <w:t xml:space="preserve">Министерства здравоохранения Челябинской области </w:t>
            </w:r>
            <w:r w:rsidRPr="00D9790A">
              <w:t xml:space="preserve">- </w:t>
            </w:r>
            <w:r w:rsidR="00AF75C5">
              <w:rPr>
                <w:sz w:val="22"/>
                <w:szCs w:val="22"/>
              </w:rPr>
              <w:t>96</w:t>
            </w:r>
            <w:r w:rsidRPr="00D9790A">
              <w:t xml:space="preserve"> и на членов их семей – </w:t>
            </w:r>
            <w:r w:rsidR="00AF75C5">
              <w:rPr>
                <w:sz w:val="22"/>
                <w:szCs w:val="22"/>
              </w:rPr>
              <w:t>113.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t>В срок до 30 апреля 201</w:t>
            </w:r>
            <w:r w:rsidR="00AF75C5">
              <w:t>8</w:t>
            </w:r>
            <w:r w:rsidRPr="00D9790A">
              <w:t xml:space="preserve"> г. 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– </w:t>
            </w:r>
            <w:r w:rsidR="00AF75C5">
              <w:t>132</w:t>
            </w:r>
            <w:r w:rsidRPr="00D9790A">
              <w:t xml:space="preserve"> и на членов их семей – </w:t>
            </w:r>
            <w:r w:rsidR="00AF75C5">
              <w:t>156.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контроля за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</w:t>
            </w:r>
            <w:r w:rsidRPr="00B77DE7">
              <w:rPr>
                <w:rFonts w:hint="eastAsia"/>
              </w:rPr>
              <w:lastRenderedPageBreak/>
              <w:t>доходах, об имуществе и обязательствах имущественного характера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lastRenderedPageBreak/>
              <w:t>В срок до 31 мая 201</w:t>
            </w:r>
            <w:r w:rsidR="00AF75C5">
              <w:t>8</w:t>
            </w:r>
            <w:r w:rsidRPr="00D9790A">
              <w:t xml:space="preserve"> г. были поданы уточненные  сведения о доходах, об имуществе и обязательствах имущественного характера </w:t>
            </w:r>
            <w:r w:rsidR="00AF75C5">
              <w:t>5</w:t>
            </w:r>
            <w:r w:rsidRPr="00D9790A">
              <w:t xml:space="preserve"> государственными гражданскими служащими Министерства здравоохранения Челябинской области и </w:t>
            </w:r>
            <w:r w:rsidR="00AF75C5">
              <w:t xml:space="preserve">13 </w:t>
            </w:r>
            <w:r w:rsidRPr="00D9790A">
              <w:t>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учредителя. Все госуд</w:t>
            </w:r>
            <w:r w:rsidR="00AF75C5">
              <w:t>арственные гражданские служащие</w:t>
            </w:r>
            <w:r w:rsidR="00AF75C5">
              <w:rPr>
                <w:color w:val="000000"/>
              </w:rPr>
              <w:t xml:space="preserve"> и руководители </w:t>
            </w:r>
            <w:r w:rsidR="00AF75C5">
              <w:rPr>
                <w:color w:val="000000"/>
              </w:rPr>
              <w:lastRenderedPageBreak/>
              <w:t xml:space="preserve">учреждений </w:t>
            </w:r>
            <w:r w:rsidRPr="00D9790A">
              <w:t>представили уточненные сведения о доходах, об имуществе и обязательствах имущественного характера без нарушения сроков.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lastRenderedPageBreak/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22.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семей;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9790A" w:rsidRDefault="00AF75C5" w:rsidP="00AF75C5">
            <w:pPr>
              <w:jc w:val="both"/>
            </w:pPr>
            <w:r>
              <w:t>У</w:t>
            </w:r>
            <w:r w:rsidR="004931AF" w:rsidRPr="00D9790A">
              <w:t xml:space="preserve">правлением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 w:rsidR="004931AF" w:rsidRPr="00D9790A">
              <w:t xml:space="preserve"> </w:t>
            </w:r>
            <w:r>
              <w:t xml:space="preserve">в установленном порядке </w:t>
            </w:r>
            <w:r w:rsidR="004931AF" w:rsidRPr="00D9790A">
              <w:t>проведен 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семей.</w:t>
            </w:r>
            <w:r>
              <w:t xml:space="preserve"> Подготовлен доклад Министру здравоохранения Челябинской области по результатам анализа указанных сведений.</w:t>
            </w:r>
            <w:r w:rsidR="004931AF" w:rsidRPr="00D9790A">
              <w:t xml:space="preserve"> </w:t>
            </w:r>
          </w:p>
        </w:tc>
        <w:tc>
          <w:tcPr>
            <w:tcW w:w="2561" w:type="dxa"/>
          </w:tcPr>
          <w:p w:rsidR="004931AF" w:rsidRPr="00B77DE7" w:rsidRDefault="00AF75C5" w:rsidP="00B77DE7"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23.</w:t>
            </w:r>
          </w:p>
        </w:tc>
        <w:tc>
          <w:tcPr>
            <w:tcW w:w="5410" w:type="dxa"/>
          </w:tcPr>
          <w:p w:rsidR="004931AF" w:rsidRPr="00B77DE7" w:rsidRDefault="004931AF" w:rsidP="00AF75C5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AF75C5" w:rsidP="00AF75C5">
            <w:pPr>
              <w:jc w:val="both"/>
            </w:pPr>
            <w:r>
              <w:t xml:space="preserve">Управлением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>
              <w:t xml:space="preserve"> в установленном порядке проведен  анализ представленных сведений о доходах, об имуществе и обязательствах имущественного характера и сведений о расходах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членов их семей. П</w:t>
            </w:r>
            <w:r w:rsidR="004931AF" w:rsidRPr="00D9790A">
              <w:t>одготовлен доклад Министру здравоохранения Челябинской области по результатам анализа указанных сведений.</w:t>
            </w:r>
          </w:p>
        </w:tc>
        <w:tc>
          <w:tcPr>
            <w:tcW w:w="2561" w:type="dxa"/>
          </w:tcPr>
          <w:p w:rsidR="004931AF" w:rsidRPr="00B77DE7" w:rsidRDefault="00AF75C5" w:rsidP="00B77DE7">
            <w:r>
              <w:t>-</w:t>
            </w:r>
          </w:p>
        </w:tc>
      </w:tr>
      <w:tr w:rsidR="00AF75C5" w:rsidRPr="00B77DE7" w:rsidTr="00656DDA">
        <w:trPr>
          <w:trHeight w:val="3408"/>
        </w:trPr>
        <w:tc>
          <w:tcPr>
            <w:tcW w:w="62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24.</w:t>
            </w:r>
          </w:p>
        </w:tc>
        <w:tc>
          <w:tcPr>
            <w:tcW w:w="541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контроля за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</w:pPr>
            <w:r>
              <w:t>Государственные гражданские служащие Министерства здравоохранения Челябинской области ознакомлены с 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</w:pPr>
            <w:r>
              <w:t xml:space="preserve">Контроль за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Pr="00475687" w:rsidRDefault="00AF75C5" w:rsidP="007350EE">
            <w:pPr>
              <w:jc w:val="both"/>
            </w:pPr>
            <w:r>
              <w:t>Информация о получении подарков государственными гражданскими служащими Министерства здравоохранения Челябинской области в 1</w:t>
            </w:r>
            <w:r w:rsidR="007350EE">
              <w:t>-3</w:t>
            </w:r>
            <w:r>
              <w:t xml:space="preserve"> </w:t>
            </w:r>
            <w:r w:rsidR="007350EE">
              <w:t>кв.</w:t>
            </w:r>
            <w:r>
              <w:t xml:space="preserve"> 2018 г. не предоставлялась.</w:t>
            </w:r>
          </w:p>
        </w:tc>
        <w:tc>
          <w:tcPr>
            <w:tcW w:w="2561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AF75C5" w:rsidRPr="00B77DE7" w:rsidTr="00656DDA">
        <w:trPr>
          <w:trHeight w:val="1549"/>
        </w:trPr>
        <w:tc>
          <w:tcPr>
            <w:tcW w:w="62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25.</w:t>
            </w:r>
          </w:p>
        </w:tc>
        <w:tc>
          <w:tcPr>
            <w:tcW w:w="5410" w:type="dxa"/>
          </w:tcPr>
          <w:p w:rsidR="00C1009C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>Обеспечение эффективной системы контроля за соблюдением ограничений и запретов на гражданской службе:</w:t>
            </w:r>
          </w:p>
          <w:p w:rsidR="00C1009C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F75C5" w:rsidRPr="00B77DE7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формированию негативного 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Проведено повторное ознакомление государственных гражданских служащих, занимающих коррупционно-опасные должности в Министерстве здравоохранения Челябинской области, с нормами антикоррупционного законодательства (ознакомлено 83 государственных гражданских служащих). 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83 государственными гражданскими служащими, занимающими коррупционно-опасные должности в Министерстве здравоохранения Челябинской области,  заполнены Декларации конфликта интересов с целью их дальнейшего анализа в рамках профилактики возникновения конфликта интересов.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 </w:t>
            </w:r>
            <w:r w:rsidR="007350EE">
              <w:t xml:space="preserve">1-3 кв. 2018 г. </w:t>
            </w:r>
            <w:r>
              <w:t xml:space="preserve">целях надлежащего обеспечения безусловного соблюдения запретов и ограничений на государственной гражданской службе,  установленных федеральным законодательством проведены ознакомления: 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лиц, уполномоченных на профилактику коррупционных и иных правонарушений  в Министерстве здравоохранения Челябинской области с «Обзором практики правоприменения в сфере конфликта интересов № 1»</w:t>
            </w:r>
            <w:r w:rsidR="00C1009C">
              <w:t xml:space="preserve">, </w:t>
            </w:r>
            <w:r>
              <w:t xml:space="preserve"> (письмо Министерства труда и соц. защиты РФ от   </w:t>
            </w:r>
            <w:r w:rsidR="00C1009C">
              <w:lastRenderedPageBreak/>
              <w:t>29.03.2018 г. № 18-0/10/п-206);</w:t>
            </w:r>
            <w:r>
              <w:t xml:space="preserve"> </w:t>
            </w:r>
            <w:r w:rsidR="00C1009C">
              <w:t>«Методическими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 » (письмо Министерства труда и соц. защиты РФ от 26.07.2018 г. № 18-0/10/п-5146).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лиц, замещающих государственные должности и коррупционно-опасные должности,  включенные в Перечень должностей, утвержденный п</w:t>
            </w:r>
            <w:r w:rsidRPr="00AF75C5">
              <w:t>риказ</w:t>
            </w:r>
            <w:r>
              <w:t>ом</w:t>
            </w:r>
            <w:r w:rsidRPr="00AF75C5">
              <w:t xml:space="preserve"> Министерства здравоохранения Челябинской области от 31.05.2017г. </w:t>
            </w:r>
            <w:r>
              <w:t xml:space="preserve">         </w:t>
            </w:r>
            <w:r w:rsidRPr="00AF75C5">
              <w:t>№</w:t>
            </w:r>
            <w:r>
              <w:t xml:space="preserve"> </w:t>
            </w:r>
            <w:r w:rsidRPr="00AF75C5">
              <w:t xml:space="preserve">152 л.с.  </w:t>
            </w:r>
            <w:r>
              <w:t>с письмом Министерства труда и соц. защиты РФ от 11.04.2018 г. № 18-2/1018-2575 «</w:t>
            </w:r>
            <w:r w:rsidRPr="00AF75C5">
              <w:t>Об исключении нарушения запретов, установленных антикоррупционным законодательством для отдельных категорий лиц, при открытии таким лицам индивидуального инвестиционного счета</w:t>
            </w:r>
            <w:r>
              <w:t>»</w:t>
            </w:r>
            <w:r w:rsidR="00C1009C">
              <w:t xml:space="preserve">; </w:t>
            </w:r>
            <w:r w:rsidRPr="00475687">
              <w:t xml:space="preserve"> </w:t>
            </w:r>
          </w:p>
          <w:p w:rsidR="007350EE" w:rsidRPr="00475687" w:rsidRDefault="00C1009C" w:rsidP="00C1009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государственных гражданских служащих министерства с Федеральным законом от 03.08.2018 № 307-ФЗ </w:t>
            </w:r>
            <w:r w:rsidRPr="00C1009C">
              <w:t xml:space="preserve"> </w:t>
            </w:r>
            <w:r>
              <w:t>«</w:t>
            </w:r>
            <w:r w:rsidRPr="00C1009C">
      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      </w:r>
            <w:r>
              <w:t>».</w:t>
            </w:r>
          </w:p>
        </w:tc>
        <w:tc>
          <w:tcPr>
            <w:tcW w:w="2561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6552" w:type="dxa"/>
          </w:tcPr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C1009C">
              <w:t xml:space="preserve">1-3 кварталах </w:t>
            </w:r>
            <w:r w:rsidRPr="00B77DE7">
              <w:t xml:space="preserve">2018 г. проведена проверка достоверности сведений, представляемых </w:t>
            </w:r>
            <w:r w:rsidR="00101010">
              <w:t>21</w:t>
            </w:r>
            <w:r w:rsidRPr="00B77DE7">
              <w:t xml:space="preserve"> претендующими на замещение должностей государственной гражданской службы. В целях проведения проверки были направлены: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высшие учебные заведения (</w:t>
            </w:r>
            <w:r w:rsidR="00101010">
              <w:t>20</w:t>
            </w:r>
            <w:r w:rsidRPr="00B77DE7">
              <w:t xml:space="preserve"> запросов) 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ИЦ ГУ МВД России по Челябинской области (</w:t>
            </w:r>
            <w:r w:rsidR="00101010">
              <w:t>20</w:t>
            </w:r>
            <w:r w:rsidRPr="00B77DE7">
              <w:t xml:space="preserve"> 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ИФНС России (</w:t>
            </w:r>
            <w:r w:rsidR="00101010">
              <w:t>11</w:t>
            </w:r>
            <w:r w:rsidRPr="00B77DE7">
              <w:t>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Федеральную службу государственной регистрации, кадастра и картографии России (</w:t>
            </w:r>
            <w:r w:rsidR="00101010">
              <w:t>11</w:t>
            </w:r>
            <w:r w:rsidRPr="00B77DE7">
              <w:t>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ГИБДД Главного Управления МВД России по Челябинской области  (</w:t>
            </w:r>
            <w:r w:rsidR="00101010">
              <w:t>11</w:t>
            </w:r>
            <w:r w:rsidRPr="00B77DE7">
              <w:t xml:space="preserve"> 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lastRenderedPageBreak/>
              <w:t>- запросы в Центр Государственной инспекции по маломерным судам (ГИМС) МЧС России по Челябинской области (</w:t>
            </w:r>
            <w:r w:rsidR="00101010">
              <w:t>11</w:t>
            </w:r>
            <w:r w:rsidRPr="00B77DE7">
              <w:t xml:space="preserve"> запросов) ;</w:t>
            </w:r>
          </w:p>
          <w:p w:rsidR="00AF75C5" w:rsidRPr="00B77DE7" w:rsidRDefault="006D0F90" w:rsidP="00101010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 в Министерство сельского хозяйства по Челябинской области (</w:t>
            </w:r>
            <w:r w:rsidR="00101010">
              <w:t>11</w:t>
            </w:r>
            <w:r w:rsidRPr="00B77DE7">
              <w:t xml:space="preserve"> запросов).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6D0F90" w:rsidRPr="00B77DE7" w:rsidRDefault="006D0F90" w:rsidP="00101010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AF75C5">
              <w:t xml:space="preserve">в 1 квартале  2018 г. - </w:t>
            </w:r>
            <w:r w:rsidRPr="00B77DE7">
              <w:t xml:space="preserve">6 гражданами, </w:t>
            </w:r>
            <w:r w:rsidR="00AF75C5">
              <w:t xml:space="preserve">во 2 квартале 2018 г. – 17 гражданами, </w:t>
            </w:r>
            <w:r w:rsidRPr="00B77DE7">
              <w:t xml:space="preserve">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</w:t>
            </w:r>
            <w:r w:rsidR="00101010">
              <w:t xml:space="preserve">функции и полномочия учредителя. В </w:t>
            </w:r>
            <w:r w:rsidR="00C8511D">
              <w:t xml:space="preserve"> 3 квартале</w:t>
            </w:r>
            <w:r w:rsidR="00101010">
              <w:t xml:space="preserve"> -  не проводилась</w:t>
            </w:r>
            <w:r w:rsidR="00C8511D">
              <w:t xml:space="preserve"> в связи</w:t>
            </w:r>
            <w:r w:rsidR="00101010">
              <w:t xml:space="preserve"> с отсутствием необходимости.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341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в порядке, установленном действующим 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 государственных гражданских служащих Министерства здравоохранения Челябинской принимает управление кадрового и правового обеспечения Минздрава Челябинской области. </w:t>
            </w:r>
          </w:p>
          <w:p w:rsidR="006D0F90" w:rsidRPr="00B77DE7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расходах, представленные 3-мя государственными гражданскими служащими Минздрава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  <w:tc>
          <w:tcPr>
            <w:tcW w:w="2561" w:type="dxa"/>
          </w:tcPr>
          <w:p w:rsidR="006D0F90" w:rsidRPr="00B77DE7" w:rsidRDefault="00AF75C5" w:rsidP="00B77DE7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</w:tr>
      <w:tr w:rsidR="006D0F90" w:rsidRPr="00B77DE7" w:rsidTr="00656DDA">
        <w:trPr>
          <w:trHeight w:val="1683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a5"/>
              <w:spacing w:after="0"/>
              <w:jc w:val="both"/>
            </w:pPr>
            <w:r w:rsidRPr="00B77DE7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C8511D" w:rsidRDefault="006D0F90" w:rsidP="00C8511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4"/>
              </w:rPr>
            </w:pPr>
            <w:r w:rsidRPr="00B77DE7">
              <w:rPr>
                <w:color w:val="000000"/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C8511D">
              <w:rPr>
                <w:color w:val="000000"/>
                <w:spacing w:val="4"/>
              </w:rPr>
              <w:t>В 1-3 кв. 2018 г. т</w:t>
            </w:r>
            <w:r w:rsidR="00AF75C5">
              <w:rPr>
                <w:color w:val="000000"/>
                <w:spacing w:val="4"/>
              </w:rPr>
              <w:t>рем</w:t>
            </w:r>
            <w:r w:rsidRPr="00B77DE7">
              <w:rPr>
                <w:color w:val="000000"/>
                <w:spacing w:val="4"/>
              </w:rPr>
              <w:t xml:space="preserve"> вновь принятым служащим приказами Министерства здравоохранения Челябинской области назначены наставники.</w:t>
            </w:r>
          </w:p>
          <w:p w:rsidR="006D0F90" w:rsidRPr="00B77DE7" w:rsidRDefault="00C8511D" w:rsidP="00C8511D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30.</w:t>
            </w:r>
          </w:p>
        </w:tc>
        <w:tc>
          <w:tcPr>
            <w:tcW w:w="5410" w:type="dxa"/>
          </w:tcPr>
          <w:p w:rsidR="006D0F90" w:rsidRPr="00AF75C5" w:rsidRDefault="00101010" w:rsidP="00AF75C5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>Проведение семинаров, конференций, «круглых 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16.02.2018 </w:t>
            </w:r>
            <w:r w:rsidR="001D4A6F">
              <w:t>года</w:t>
            </w:r>
            <w:r w:rsidRPr="00B77DE7">
              <w:t xml:space="preserve"> в 10-00 в актовом зале Министерства здравоохранения Челябинской области состоялся семинар для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по вопросам противодействия коррупции.</w:t>
            </w:r>
          </w:p>
          <w:p w:rsidR="006D0F90" w:rsidRDefault="006D0F90" w:rsidP="00AF75C5">
            <w:pPr>
              <w:jc w:val="both"/>
            </w:pPr>
            <w:r w:rsidRPr="00B77DE7">
              <w:t>05.03.2017 года в 10-00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 № 460.</w:t>
            </w:r>
            <w:r w:rsidR="00AF75C5" w:rsidRPr="00B77DE7">
              <w:t xml:space="preserve"> </w:t>
            </w:r>
          </w:p>
          <w:p w:rsidR="001D4A6F" w:rsidRPr="00B77DE7" w:rsidRDefault="001D4A6F" w:rsidP="00AF75C5">
            <w:pPr>
              <w:jc w:val="both"/>
            </w:pPr>
            <w:r>
              <w:t xml:space="preserve">На </w:t>
            </w:r>
            <w:r w:rsidRPr="001D4A6F">
              <w:t>Коллегии Министерства здравоохранения Челябинской области 28.09.2018</w:t>
            </w:r>
            <w:r>
              <w:t xml:space="preserve"> г. рассмотрен вопрос</w:t>
            </w:r>
            <w:r w:rsidRPr="001D4A6F">
              <w:t xml:space="preserve"> «О противодействии коррупции в учреждениях здравоохранения  Челябинской области».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31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 Телефон «горячей линии» Министерства здравоохранения Челябинской области   8 (351) 240-15-16.   Время работы горячей линии – круглосуточно.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D0F90" w:rsidRPr="00B77DE7" w:rsidRDefault="006D0F90" w:rsidP="00101010">
            <w:pPr>
              <w:jc w:val="both"/>
            </w:pPr>
            <w:r w:rsidRPr="00B77DE7">
              <w:t xml:space="preserve"> В </w:t>
            </w:r>
            <w:r w:rsidR="00101010">
              <w:t>1-3 кварталах</w:t>
            </w:r>
            <w:r w:rsidRPr="00B77DE7">
              <w:t xml:space="preserve"> 2018 г. сообщения о проявлении фактов коррупции в Министерстве здравоохранения Челябинской области  на телефон «горячей линии» и на адрес электронной </w:t>
            </w:r>
            <w:r w:rsidRPr="00B77DE7">
              <w:lastRenderedPageBreak/>
              <w:t>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Default="006D0F90" w:rsidP="00AF75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>В 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Pr="00B77DE7">
              <w:rPr>
                <w:color w:val="000000"/>
              </w:rPr>
              <w:t xml:space="preserve">Челябинской  области  функционирует  телефон  «прямой   линии»  (тел. 8 (351) 240-22-22 (доб. 331), часы приема сообщений: еженедельно в среду с 10.00 до 12.00 и с 14.00 до 16.00.  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В 1</w:t>
            </w:r>
            <w:r w:rsidR="00C55D92">
              <w:rPr>
                <w:color w:val="000000"/>
              </w:rPr>
              <w:t xml:space="preserve">-3 </w:t>
            </w:r>
            <w:r w:rsidR="00C8511D">
              <w:t>кварталах</w:t>
            </w:r>
            <w:r w:rsidR="00C8511D" w:rsidRPr="00B77DE7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 xml:space="preserve">2018 г.  </w:t>
            </w:r>
            <w:r w:rsidR="00AF75C5">
              <w:rPr>
                <w:color w:val="000000"/>
              </w:rPr>
              <w:t xml:space="preserve">зарегистрировано </w:t>
            </w:r>
            <w:r w:rsidR="00C55D92">
              <w:rPr>
                <w:color w:val="000000"/>
              </w:rPr>
              <w:t xml:space="preserve">4 </w:t>
            </w:r>
            <w:r w:rsidR="00AF75C5">
              <w:rPr>
                <w:color w:val="000000"/>
              </w:rPr>
              <w:t xml:space="preserve">обращения на телефон «прямой линии», </w:t>
            </w:r>
            <w:r w:rsidRPr="00B77DE7">
              <w:rPr>
                <w:color w:val="000000"/>
              </w:rPr>
              <w:t xml:space="preserve">сообщения </w:t>
            </w:r>
            <w:r w:rsidR="00061DD4">
              <w:t xml:space="preserve">по вопросам антикоррупционного просвещения </w:t>
            </w:r>
            <w:r w:rsidRPr="00B77DE7">
              <w:rPr>
                <w:color w:val="000000"/>
              </w:rPr>
              <w:t>на телефон «прямой линии»  не поступали.</w:t>
            </w:r>
            <w:r w:rsidR="00AF75C5" w:rsidRPr="00B77DE7">
              <w:rPr>
                <w:color w:val="000000"/>
              </w:rPr>
              <w:t xml:space="preserve"> </w:t>
            </w:r>
          </w:p>
          <w:p w:rsidR="00101010" w:rsidRPr="00B77DE7" w:rsidRDefault="00101010" w:rsidP="00AF75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33.</w:t>
            </w:r>
          </w:p>
        </w:tc>
        <w:tc>
          <w:tcPr>
            <w:tcW w:w="5410" w:type="dxa"/>
          </w:tcPr>
          <w:p w:rsidR="00C55D92" w:rsidRDefault="00C55D92" w:rsidP="00C55D92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и техническая поддержка интернет-сайтов  Министерства здравоохранения Челябинской области  и государственных учреждений,  в  отношении  которых Министерство здравоохранения Челябинской области осуществляет функции  и полномочия учредителя,   в части освещения хода реализации мер по противодействию коррупции.  </w:t>
            </w:r>
          </w:p>
          <w:p w:rsidR="006D0F90" w:rsidRPr="00B77DE7" w:rsidRDefault="00C55D92" w:rsidP="00C55D92">
            <w:pPr>
              <w:autoSpaceDE w:val="0"/>
              <w:autoSpaceDN w:val="0"/>
              <w:adjustRightInd w:val="0"/>
              <w:jc w:val="both"/>
            </w:pPr>
            <w:r>
              <w:t>Ежеквартальное размещение отчета о выполнении плана противодействия коррупции на 2018-2020 годы Министерства здравоохранения Челябинской области 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 размещены: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интересов;</w:t>
            </w:r>
          </w:p>
          <w:p w:rsidR="006D0F90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-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    </w:r>
            <w:r w:rsidR="00AF75C5">
              <w:t>;</w:t>
            </w:r>
          </w:p>
          <w:p w:rsidR="00AF75C5" w:rsidRDefault="00AF75C5" w:rsidP="00B77DE7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F75C5">
              <w:t xml:space="preserve">Письмо Министерства Труда и социальной защиты Российской Федерации от 29.03.2018 г. №18-0/10/п-2061 </w:t>
            </w:r>
            <w:r>
              <w:t>«</w:t>
            </w:r>
            <w:r w:rsidRPr="00AF75C5">
              <w:t xml:space="preserve">Обзор практики </w:t>
            </w:r>
            <w:r>
              <w:t>п</w:t>
            </w:r>
            <w:r w:rsidRPr="00AF75C5">
              <w:t>ров</w:t>
            </w:r>
            <w:r>
              <w:t>о</w:t>
            </w:r>
            <w:r w:rsidRPr="00AF75C5">
              <w:t>применения в сфере конфликта интересов №1</w:t>
            </w:r>
            <w:r>
              <w:t>»;</w:t>
            </w:r>
          </w:p>
          <w:p w:rsidR="00AF75C5" w:rsidRDefault="00AF75C5" w:rsidP="00B77DE7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F75C5">
              <w:t xml:space="preserve">Информация о выполнении ведомственного Плана противодействия коррупции </w:t>
            </w:r>
            <w:r w:rsidR="00C55D92">
              <w:t>(ежеквартально)</w:t>
            </w:r>
            <w:r>
              <w:t>;</w:t>
            </w:r>
          </w:p>
          <w:p w:rsidR="00AF75C5" w:rsidRDefault="00AF75C5" w:rsidP="00B77DE7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F75C5">
              <w:t xml:space="preserve">Приказ Министерства здравоохранения Челябинской области от 29.03.2018 г. № 609 «О порядке сообщения руководителями учреждений, в отношении которых Министерство здравоохранения Челябинской области выполняет функции   и  полномочия учредителя, о возникновении личной заинтересованности при исполнении </w:t>
            </w:r>
            <w:r w:rsidRPr="00AF75C5">
              <w:lastRenderedPageBreak/>
              <w:t>должностных обязанностей, которая приводит или может привести к конфликту интересов»</w:t>
            </w:r>
            <w:r>
              <w:t>;</w:t>
            </w:r>
          </w:p>
          <w:p w:rsidR="006D0F90" w:rsidRDefault="00AF75C5" w:rsidP="00B77DE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Pr="00AF75C5">
              <w:t>Сведения о доходах, расходах об имуществе и обязательствах имущественного характера</w:t>
            </w:r>
            <w:r>
              <w:t xml:space="preserve"> государственных гражданских служащих Министерства здравоохранения Челябинской области,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и членов их семей</w:t>
            </w:r>
            <w:r w:rsidRPr="00B77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 а также уточненных сведений за 2017 г.</w:t>
            </w:r>
          </w:p>
          <w:p w:rsidR="00C55D92" w:rsidRDefault="00C55D92" w:rsidP="00C55D9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Сведения о доходах, расходах об имуществе и обязательствах имущественного характера государственных гражданских служащих Министерства здравоохранения Челябинской области,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и членов их семей</w:t>
            </w:r>
            <w:r>
              <w:rPr>
                <w:color w:val="000000"/>
              </w:rPr>
              <w:t>,  а также уточненных сведений за 2017 г.</w:t>
            </w:r>
          </w:p>
          <w:p w:rsidR="00C55D92" w:rsidRDefault="00C55D92" w:rsidP="00C55D9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55D92">
              <w:rPr>
                <w:color w:val="000000"/>
              </w:rPr>
              <w:t xml:space="preserve">Приказ </w:t>
            </w:r>
            <w:r w:rsidR="003773A8">
              <w:t xml:space="preserve">Министерства здравоохранения Челябинской области </w:t>
            </w:r>
            <w:r w:rsidRPr="00C55D92">
              <w:rPr>
                <w:color w:val="000000"/>
              </w:rPr>
              <w:t xml:space="preserve">от 01.08.2018 г. №1543 </w:t>
            </w:r>
            <w:r>
              <w:rPr>
                <w:color w:val="000000"/>
              </w:rPr>
              <w:t>«</w:t>
            </w:r>
            <w:r w:rsidRPr="00C55D92">
              <w:rPr>
                <w:color w:val="000000"/>
              </w:rPr>
              <w:t>Об утверждении карты коррупционных рисков Министерства здравоохранения Челябинской области</w:t>
            </w:r>
            <w:r>
              <w:rPr>
                <w:color w:val="000000"/>
              </w:rPr>
              <w:t>»;</w:t>
            </w:r>
          </w:p>
          <w:p w:rsidR="00C55D92" w:rsidRPr="00B77DE7" w:rsidRDefault="00C55D92" w:rsidP="00C55D9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Приказ Министерства здравоохранения Челябинской области от 17.09.2018 г. № 1919 «Об утверждении плана противодействия коррупции Министерства здравоохранения Челябинской области на 2018-2020 годы и признании утратившими силу некоторых приказов Министерства здравоохранения Челябинской области».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spacing w:before="0" w:beforeAutospacing="0" w:after="0" w:afterAutospacing="0"/>
            </w:pP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AF75C5">
            <w:pPr>
              <w:tabs>
                <w:tab w:val="right" w:pos="2194"/>
              </w:tabs>
              <w:jc w:val="both"/>
            </w:pPr>
            <w:r w:rsidRPr="00B77DE7">
              <w:rPr>
                <w:color w:val="000000"/>
              </w:rPr>
              <w:t>В работе заседаний Комиссии по соблюдению требований к служебному поведению и урегулированию 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 приним</w:t>
            </w:r>
            <w:r w:rsidR="00C55D92">
              <w:rPr>
                <w:color w:val="000000"/>
              </w:rPr>
              <w:t>ают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</w:t>
            </w:r>
            <w:r w:rsidR="00C55D92">
              <w:t>ы</w:t>
            </w:r>
            <w:r w:rsidRPr="00B77DE7">
              <w:t xml:space="preserve">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целях  участия 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</w:pPr>
            <w:r w:rsidRPr="00B77DE7">
              <w:t>Рассмотрение с государственными гражданскими служащими, работниками   Министерства здравоохранения Челябинской области,  руководителями учреждений,   в  отношении       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осуществляет функции  и полномочия учредителя,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C55D92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 xml:space="preserve">Управлением кадрового и правового обеспечения </w:t>
            </w:r>
            <w:r w:rsidR="00C55D92">
              <w:rPr>
                <w:color w:val="000000"/>
              </w:rPr>
              <w:t xml:space="preserve">ежеквартально </w:t>
            </w:r>
            <w:r w:rsidRPr="00B77DE7">
              <w:rPr>
                <w:color w:val="000000"/>
              </w:rPr>
              <w:t>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 xml:space="preserve"> ознакомление под роспись государственных гражданских служащих Минздрава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 xml:space="preserve">Челябинской области осуществляет функции  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 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здравоохранения Челябинской области осуществляет функции и полномочия учредителя, и  доведение их до указанных лиц</w:t>
            </w:r>
          </w:p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Работа не проводилась.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Срок исполнения – октябрь 2018 г.</w:t>
            </w:r>
          </w:p>
        </w:tc>
      </w:tr>
      <w:tr w:rsidR="006D0F90" w:rsidRPr="00B77DE7" w:rsidTr="00656DDA">
        <w:trPr>
          <w:trHeight w:val="4090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5410" w:type="dxa"/>
          </w:tcPr>
          <w:p w:rsidR="006D0F90" w:rsidRPr="00B77DE7" w:rsidRDefault="006D0F90" w:rsidP="00AF75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Анализ локальных акто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учреждений, в  отношении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системы запретов и ограничений,  обеспечивающих предупреждение коррупции.</w:t>
            </w:r>
          </w:p>
        </w:tc>
        <w:tc>
          <w:tcPr>
            <w:tcW w:w="6552" w:type="dxa"/>
          </w:tcPr>
          <w:p w:rsidR="00AF75C5" w:rsidRDefault="00AF75C5" w:rsidP="00AF75C5">
            <w:pPr>
              <w:pStyle w:val="a7"/>
              <w:jc w:val="both"/>
            </w:pPr>
            <w:r w:rsidRPr="00B77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B77DE7">
              <w:rPr>
                <w:color w:val="000000"/>
              </w:rPr>
              <w:t xml:space="preserve"> 1 кв. 2018 года управлением кадрового и правового обеспечения Минздрава Челябинской области была организована работа по анализу информации об имеющихся в 132</w:t>
            </w:r>
            <w:r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государственных учреждениях, в  отношении   котор</w:t>
            </w:r>
            <w:r>
              <w:rPr>
                <w:color w:val="000000"/>
              </w:rPr>
              <w:t>ых Министерство здравоохранения</w:t>
            </w:r>
            <w:r w:rsidRPr="00B77DE7">
              <w:rPr>
                <w:color w:val="000000"/>
              </w:rPr>
              <w:t xml:space="preserve"> Челябинской  области осуществляет функции  и полномочия учредителя, локальных актов.  Проведен их анализ и систематизация  в целях кодификации и приведения в соответствие с нормами антикоррупционного законодательства. Подведение итогов состоялось 16.02.2018 г. на семинаре </w:t>
            </w:r>
            <w:r w:rsidRPr="00B77DE7">
              <w:t>для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по вопросам противодействия коррупции.</w:t>
            </w:r>
          </w:p>
          <w:p w:rsidR="00AF75C5" w:rsidRDefault="00AF75C5" w:rsidP="00AF75C5">
            <w:pPr>
              <w:pStyle w:val="a7"/>
              <w:jc w:val="both"/>
            </w:pPr>
            <w:r>
              <w:t xml:space="preserve">Во 2 кв. 2018 г. даны рекомендации по  </w:t>
            </w:r>
            <w:r w:rsidRPr="00B77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организации  работы с базой локальных  антикоррупционных актов 2 </w:t>
            </w:r>
            <w:r>
              <w:t>руководителям государственных учреждений</w:t>
            </w:r>
            <w:r w:rsidR="00C55D92">
              <w:t>.</w:t>
            </w:r>
          </w:p>
          <w:p w:rsidR="00C55D92" w:rsidRDefault="00C55D92" w:rsidP="00C55D92">
            <w:pPr>
              <w:pStyle w:val="a7"/>
              <w:jc w:val="both"/>
            </w:pPr>
            <w:r>
              <w:t xml:space="preserve">В 3 кв. 2018 г. даны рекомендации по  </w:t>
            </w:r>
            <w:r>
              <w:rPr>
                <w:color w:val="000000"/>
              </w:rPr>
              <w:t xml:space="preserve"> организации  работы с базой локальных  антикоррупционных актов 1 </w:t>
            </w:r>
            <w:r>
              <w:t>руководителю государственного учреждения.</w:t>
            </w:r>
          </w:p>
          <w:p w:rsidR="00C55D92" w:rsidRPr="00AF75C5" w:rsidRDefault="00C55D92" w:rsidP="00AF75C5">
            <w:pPr>
              <w:pStyle w:val="a7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Pr="00B77DE7" w:rsidRDefault="006D0F90" w:rsidP="00AF75C5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 xml:space="preserve">До </w:t>
            </w:r>
            <w:r w:rsidR="00AF75C5">
              <w:rPr>
                <w:color w:val="000000"/>
              </w:rPr>
              <w:t>9</w:t>
            </w:r>
            <w:r w:rsidRPr="00B77DE7">
              <w:rPr>
                <w:color w:val="000000"/>
              </w:rPr>
              <w:t xml:space="preserve">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</w:t>
            </w:r>
            <w:r w:rsidR="00AF75C5">
              <w:rPr>
                <w:color w:val="000000"/>
              </w:rPr>
              <w:t>при поступлении на должности</w:t>
            </w:r>
            <w:r w:rsidR="00841809">
              <w:rPr>
                <w:color w:val="000000"/>
              </w:rPr>
              <w:t xml:space="preserve"> под роспись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 xml:space="preserve">доведены положения действующего законодательства Российской Федерации, Челябинской области </w:t>
            </w:r>
            <w:r w:rsidRPr="00B77DE7">
              <w:rPr>
                <w:color w:val="000000"/>
              </w:rPr>
              <w:lastRenderedPageBreak/>
              <w:t>распорядительных актов Министерства здравоохранения Челябинской области в сфере противодействия коррупции</w:t>
            </w:r>
            <w:r w:rsidR="00AF75C5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982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контроля за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Применение мер дисциплинарной ответственности  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6D0F90" w:rsidP="00060C38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 xml:space="preserve"> За отчетный период меры дисциплинарной ответственности в случае выявления допущенных коррупционных правонарушений применены к </w:t>
            </w:r>
            <w:r w:rsidR="00060C38">
              <w:rPr>
                <w:color w:val="000000"/>
              </w:rPr>
              <w:t>5</w:t>
            </w:r>
            <w:r w:rsidRPr="00B77DE7">
              <w:rPr>
                <w:color w:val="000000"/>
              </w:rPr>
              <w:t xml:space="preserve"> руководителям подведомственных  учреждений.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Pr="00B77DE7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060C38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</w:t>
            </w:r>
          </w:p>
        </w:tc>
        <w:tc>
          <w:tcPr>
            <w:tcW w:w="2561" w:type="dxa"/>
          </w:tcPr>
          <w:p w:rsidR="00060C38" w:rsidRPr="00B77DE7" w:rsidRDefault="00060C38" w:rsidP="00060C3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ежегодно, срок исполнения декабрь 2018 г.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кадровой работы  в части, касающейся ведения личных дел, в том числе актуализация сведений, содержащихся в анкетах,   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</w:p>
        </w:tc>
        <w:tc>
          <w:tcPr>
            <w:tcW w:w="6552" w:type="dxa"/>
          </w:tcPr>
          <w:p w:rsidR="00060C38" w:rsidRDefault="00060C38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мероприятие запланировано на ноябрь 2018 г.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должности осуществление полномочий,  по которым  влечет за собой обязанность предоставлять сведения о своих 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060C38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Внедрено использование </w:t>
            </w:r>
            <w:r w:rsidRPr="00060C38">
              <w:rPr>
                <w:color w:val="000000"/>
              </w:rPr>
              <w:t>специального программного обеспечения «Справки БК»</w:t>
            </w:r>
            <w:r>
              <w:rPr>
                <w:color w:val="000000"/>
              </w:rPr>
              <w:t xml:space="preserve"> на постоянной основе</w:t>
            </w:r>
            <w:r w:rsidR="001D4A6F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060C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    повышения     квалификации     государственных гражданских служащих  в  должностные обязанности которых входит  участие  в  противодействии  коррупции;</w:t>
            </w:r>
          </w:p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 государственных  гражданских  служащих  </w:t>
            </w:r>
          </w:p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впервые поступивших на службу для замещения должностей, включенных в перечень коррупционно опасных должностей Министерства здравоохранения Челябинской области,  по  образовательным  программам  в  области противодействия  коррупции.  </w:t>
            </w:r>
          </w:p>
        </w:tc>
        <w:tc>
          <w:tcPr>
            <w:tcW w:w="6552" w:type="dxa"/>
          </w:tcPr>
          <w:p w:rsidR="00060C38" w:rsidRDefault="00060C38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проводилось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п. введен </w:t>
            </w:r>
            <w:r>
              <w:t>Приказом Министерства здравоохранения Челябинской области от 17.09.2018 г. № 1919 «Об утверждении плана противодействия коррупции Министерства здравоохранения Челябинской области на 2018-2020 годы и признании утратившими силу некоторых приказов Министерства здравоохранения Челябинской области»</w:t>
            </w:r>
          </w:p>
        </w:tc>
      </w:tr>
      <w:tr w:rsidR="006D0F90" w:rsidRPr="00B77DE7" w:rsidTr="00656DDA">
        <w:trPr>
          <w:trHeight w:val="273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проведенных проверках деятельности  подведомственных учреждений в части целевого и эффективного расходования бюджетных  средств</w:t>
            </w:r>
          </w:p>
        </w:tc>
        <w:tc>
          <w:tcPr>
            <w:tcW w:w="6552" w:type="dxa"/>
          </w:tcPr>
          <w:p w:rsidR="009B27C6" w:rsidRPr="009B27C6" w:rsidRDefault="009B27C6" w:rsidP="009B27C6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3773A8">
              <w:t>1-3 кв.</w:t>
            </w:r>
            <w:r w:rsidRPr="009B27C6">
              <w:t xml:space="preserve">  2018 года проведены проверки деятельности </w:t>
            </w:r>
            <w:r w:rsidR="003773A8">
              <w:t>13</w:t>
            </w:r>
            <w:r w:rsidRPr="009B27C6">
              <w:t xml:space="preserve"> государственных бюджетных учреждений, в отношении которых Министерство здравоохранения Челябинской области выполняет функции и полномочия учредителя, в части </w:t>
            </w:r>
            <w:r w:rsidRPr="009B27C6">
              <w:lastRenderedPageBreak/>
              <w:t xml:space="preserve">целевого и эффективного расходования  бюджетных средств. Сумма выявленных неэффективных расходов бюджетных средств составила </w:t>
            </w:r>
            <w:r w:rsidR="003773A8">
              <w:t>144 601,08</w:t>
            </w:r>
            <w:r w:rsidRPr="009B27C6">
              <w:t xml:space="preserve"> тыс. руб.  </w:t>
            </w:r>
          </w:p>
          <w:p w:rsidR="009B27C6" w:rsidRPr="009B27C6" w:rsidRDefault="009B27C6" w:rsidP="009B27C6">
            <w:pPr>
              <w:pStyle w:val="af1"/>
              <w:jc w:val="both"/>
            </w:pPr>
            <w:r w:rsidRPr="009B27C6">
              <w:t xml:space="preserve">Нецелевого использования бюджетных средств не установлено.  </w:t>
            </w:r>
          </w:p>
          <w:p w:rsidR="006D0F90" w:rsidRPr="00B77DE7" w:rsidRDefault="003773A8" w:rsidP="009B27C6">
            <w:pPr>
              <w:pStyle w:val="af1"/>
              <w:jc w:val="both"/>
            </w:pPr>
            <w:r>
              <w:t>5</w:t>
            </w:r>
            <w:r w:rsidR="0081368B">
              <w:t xml:space="preserve"> должностных лиц</w:t>
            </w:r>
            <w:r w:rsidR="009B27C6" w:rsidRPr="009B27C6">
              <w:t xml:space="preserve"> привлечены к дисциплинарной ответственности.</w:t>
            </w:r>
          </w:p>
        </w:tc>
        <w:tc>
          <w:tcPr>
            <w:tcW w:w="2561" w:type="dxa"/>
          </w:tcPr>
          <w:p w:rsidR="006D0F90" w:rsidRPr="00B77DE7" w:rsidRDefault="008D5E78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7E68CB" w:rsidTr="00656DDA">
        <w:trPr>
          <w:trHeight w:val="699"/>
        </w:trPr>
        <w:tc>
          <w:tcPr>
            <w:tcW w:w="620" w:type="dxa"/>
          </w:tcPr>
          <w:p w:rsidR="006D0F90" w:rsidRPr="007E68CB" w:rsidRDefault="006D0F9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A65D56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координации работы по противодействию  коррупции в Челябинской области</w:t>
            </w:r>
          </w:p>
        </w:tc>
        <w:tc>
          <w:tcPr>
            <w:tcW w:w="6552" w:type="dxa"/>
          </w:tcPr>
          <w:p w:rsidR="006D0F90" w:rsidRDefault="00293D86" w:rsidP="009B27C6">
            <w:pPr>
              <w:pStyle w:val="af1"/>
              <w:jc w:val="both"/>
            </w:pPr>
            <w:r>
              <w:t xml:space="preserve">Во исполнение </w:t>
            </w:r>
            <w:r w:rsidRPr="00293D86">
              <w:t>протокольных поручений Комиссии по координации работы по противодействию  коррупции в Челябинской области</w:t>
            </w:r>
            <w:r>
              <w:t xml:space="preserve"> от 06 февраля 2018 г. в 1 квартале </w:t>
            </w:r>
            <w:r w:rsidR="009B27C6">
              <w:t xml:space="preserve">  </w:t>
            </w:r>
            <w:r>
              <w:t>2018 г.:</w:t>
            </w:r>
          </w:p>
          <w:p w:rsidR="00293D86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в</w:t>
            </w:r>
            <w:r w:rsidR="00293D86">
              <w:t xml:space="preserve"> управление государственной службы Правительства Челябинской области направлена информация  о выявл</w:t>
            </w:r>
            <w:r w:rsidR="00061DD4">
              <w:t>енных</w:t>
            </w:r>
            <w:r w:rsidR="00293D86">
              <w:t xml:space="preserve"> Прокуратурой Челябинской области </w:t>
            </w:r>
            <w:r w:rsidR="008A0F9B">
              <w:t xml:space="preserve"> нарушениях</w:t>
            </w:r>
            <w:r w:rsidR="00293D86">
              <w:t xml:space="preserve"> в отношении 2 руководителей подведомственных  учреждений</w:t>
            </w:r>
            <w:r w:rsidR="008A0F9B">
              <w:t>;</w:t>
            </w:r>
          </w:p>
          <w:p w:rsidR="008A0F9B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приняты дополнительные меры профилактики коррупционных правон</w:t>
            </w:r>
            <w:r w:rsidR="00061DD4">
              <w:t>арушений: проведены 2 семинара (п. 30 Плана)</w:t>
            </w:r>
            <w:r w:rsidR="008A0F9B">
              <w:t xml:space="preserve">; </w:t>
            </w:r>
            <w:r w:rsidR="008A0F9B" w:rsidRPr="008A0F9B">
              <w:t>усилена работа по проведению индивидуальных консультаций</w:t>
            </w:r>
            <w:r w:rsidR="008A0F9B">
              <w:t>;</w:t>
            </w:r>
          </w:p>
          <w:p w:rsidR="00293D86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п</w:t>
            </w:r>
            <w:r w:rsidR="008A0F9B" w:rsidRPr="008A0F9B">
              <w:t>риказом Министерства здравоохранения Челябинской области от</w:t>
            </w:r>
            <w:r>
              <w:t xml:space="preserve"> 29.03.2018 г.</w:t>
            </w:r>
            <w:r w:rsidR="008A0F9B">
              <w:t xml:space="preserve"> № 609 утвержден</w:t>
            </w:r>
            <w:r w:rsidR="008A0F9B" w:rsidRPr="008A0F9B">
              <w:t xml:space="preserve"> поряд</w:t>
            </w:r>
            <w:r w:rsidR="008A0F9B">
              <w:t>ок</w:t>
            </w:r>
            <w:r w:rsidR="008A0F9B" w:rsidRPr="008A0F9B">
              <w:t xml:space="preserve"> сообщения руководителями учреждений, в отношении которых Министерство здравоохранения Челябинской области выполняет функции и  полномочия  учредителя, о  возникновении  личной  заинтересованности при исполнении должностных обязанностей, которая приводит или может привести к конфликту интересов</w:t>
            </w:r>
            <w:r w:rsidR="008A0F9B">
              <w:t>.</w:t>
            </w:r>
            <w:r w:rsidR="008D5E78">
              <w:t xml:space="preserve"> </w:t>
            </w:r>
          </w:p>
          <w:p w:rsidR="003773A8" w:rsidRDefault="003773A8" w:rsidP="009B27C6">
            <w:pPr>
              <w:pStyle w:val="af1"/>
              <w:jc w:val="both"/>
            </w:pPr>
          </w:p>
          <w:p w:rsidR="00AF75C5" w:rsidRDefault="00AF75C5" w:rsidP="009B27C6">
            <w:pPr>
              <w:pStyle w:val="af1"/>
              <w:jc w:val="both"/>
            </w:pPr>
            <w:r>
              <w:t xml:space="preserve">Во 2 квартале 2018 г.  по решению Комиссии по соблюдению требований к служебному поведению и урегулированию конфликта интересов Министерства здравоохранения Челябинской области в Прокуратуру Челябинской области направлена информация о неисполнении требований ч.1 ст. </w:t>
            </w:r>
            <w:r>
              <w:lastRenderedPageBreak/>
              <w:t>12 Федерального закона от 25.12.2008 г. № 273-ФЗ «О противодействии коррупции» бывшим гос. гражданским служащим Министерства здравоохранения Челябинской области.</w:t>
            </w:r>
          </w:p>
          <w:p w:rsidR="001D4A6F" w:rsidRDefault="001D4A6F" w:rsidP="001D4A6F">
            <w:pPr>
              <w:pStyle w:val="af1"/>
              <w:jc w:val="both"/>
            </w:pPr>
          </w:p>
          <w:p w:rsidR="003773A8" w:rsidRDefault="003773A8" w:rsidP="001D4A6F">
            <w:pPr>
              <w:pStyle w:val="af1"/>
              <w:jc w:val="both"/>
              <w:rPr>
                <w:color w:val="000000"/>
              </w:rPr>
            </w:pPr>
            <w:r>
              <w:t xml:space="preserve">В 3 квартале 2018 г. </w:t>
            </w:r>
            <w:r w:rsidR="00C8511D">
              <w:t>принят</w:t>
            </w:r>
            <w:r>
              <w:t xml:space="preserve"> и раз</w:t>
            </w:r>
            <w:r w:rsidR="00C8511D">
              <w:t>мещен</w:t>
            </w:r>
            <w:r>
              <w:t xml:space="preserve"> на официальном интернет–сайте Министерства здравоохранения Челябинской области</w:t>
            </w:r>
            <w:r w:rsidR="001D4A6F">
              <w:t xml:space="preserve"> </w:t>
            </w:r>
            <w:r>
              <w:rPr>
                <w:color w:val="000000"/>
              </w:rPr>
              <w:t xml:space="preserve">Приказ </w:t>
            </w:r>
            <w:r w:rsidR="001D4A6F">
              <w:t>Министерства здравоохранения Челябинской области</w:t>
            </w:r>
            <w:r w:rsidR="001D4A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01.08.2018 г. №1543 «Об утверждении карты коррупционных рисков Министерства здравоохранения Челябинской области»</w:t>
            </w:r>
            <w:r w:rsidR="00C8511D">
              <w:rPr>
                <w:color w:val="000000"/>
              </w:rPr>
              <w:t>.</w:t>
            </w:r>
          </w:p>
          <w:p w:rsidR="001D4A6F" w:rsidRPr="001D4A6F" w:rsidRDefault="001D4A6F" w:rsidP="001D4A6F">
            <w:pPr>
              <w:pStyle w:val="af1"/>
              <w:jc w:val="both"/>
            </w:pPr>
            <w:r>
              <w:t xml:space="preserve">На Коллегии Министерства здравоохранения Челябинской области 28.09.2018 г. рассмотрен вопрос «О противодействии коррупции в учреждениях здравоохранения  Челябинской области». </w:t>
            </w:r>
          </w:p>
          <w:p w:rsidR="003773A8" w:rsidRPr="007E68CB" w:rsidRDefault="003773A8" w:rsidP="00C8511D">
            <w:pPr>
              <w:pStyle w:val="af1"/>
              <w:jc w:val="both"/>
            </w:pPr>
          </w:p>
        </w:tc>
        <w:tc>
          <w:tcPr>
            <w:tcW w:w="2561" w:type="dxa"/>
          </w:tcPr>
          <w:p w:rsidR="006D0F90" w:rsidRPr="007E68CB" w:rsidRDefault="006D0F90" w:rsidP="006D0F9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</w:tbl>
    <w:p w:rsidR="008566A0" w:rsidRDefault="00394749" w:rsidP="005D34E5">
      <w:r>
        <w:lastRenderedPageBreak/>
        <w:t>*</w:t>
      </w:r>
      <w:r w:rsidR="00055F5F">
        <w:t xml:space="preserve">Анализ  </w:t>
      </w:r>
      <w:r w:rsidR="007E68CB" w:rsidRPr="007E68CB">
        <w:t>результатов рассмотрен</w:t>
      </w:r>
      <w:r w:rsidR="007E68CB">
        <w:t>ия вопросов в обращениях</w:t>
      </w:r>
      <w:r w:rsidR="00055F5F">
        <w:t xml:space="preserve"> граждан за</w:t>
      </w:r>
      <w:r w:rsidR="0050565A">
        <w:t xml:space="preserve"> </w:t>
      </w:r>
      <w:r w:rsidR="00423741">
        <w:t xml:space="preserve">1-3 кварталы </w:t>
      </w:r>
      <w:r w:rsidR="00055F5F">
        <w:t>201</w:t>
      </w:r>
      <w:r w:rsidR="0050565A">
        <w:t>8</w:t>
      </w:r>
      <w:r w:rsidR="00055F5F">
        <w:t xml:space="preserve"> г.</w:t>
      </w:r>
      <w:r w:rsidR="003E07D8">
        <w:t xml:space="preserve"> </w:t>
      </w:r>
    </w:p>
    <w:tbl>
      <w:tblPr>
        <w:tblW w:w="14861" w:type="dxa"/>
        <w:tblInd w:w="93" w:type="dxa"/>
        <w:tblLook w:val="04A0" w:firstRow="1" w:lastRow="0" w:firstColumn="1" w:lastColumn="0" w:noHBand="0" w:noVBand="1"/>
      </w:tblPr>
      <w:tblGrid>
        <w:gridCol w:w="3377"/>
        <w:gridCol w:w="1038"/>
        <w:gridCol w:w="1833"/>
        <w:gridCol w:w="1389"/>
        <w:gridCol w:w="1634"/>
        <w:gridCol w:w="1889"/>
        <w:gridCol w:w="1733"/>
        <w:gridCol w:w="1968"/>
      </w:tblGrid>
      <w:tr w:rsidR="00423741" w:rsidRPr="00423741" w:rsidTr="00423741">
        <w:trPr>
          <w:trHeight w:val="119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Тематика вопросов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Не поддержано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Меры приняты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Оставлено без ответа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Поддержано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Разъяснено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Направлено по компетенции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10584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6616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3611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Лицензирование. Деятельность по оформлению лицензии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Неполучение ответа на обращение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Принятое по обращению решение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21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Действие (бездействие) при рассмотрении обращения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Результаты рассмотрения обращения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Отсутствует адресат обращения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 xml:space="preserve"> Обращения, не подписанные авторами, без указания адреса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Некорректные обращения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521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Обращения, не поддающиеся прочтению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Переписка прекращена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894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Ознакомление с документами и материалами, касающ. рассмотрения обращения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Благодарности, пожелания сотрудникам подведомственных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319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Почтовое отправление или электронное сообщение, не имеющее смысла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894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Вопросы кадрового обеспечения организаций. Резерв управленческих кадров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Оплата листка нетрудоспособности (при врем. нетруд-ти,по бер и р, по уходу)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Трудовые конфликты. Разрешение трудовых споров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Особенности регулирования труда отдельных категорий граждан.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Условия и охрана труда. Орг-я и упр-е охраной труда. Спец.оценка усл.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 xml:space="preserve"> Деятельность органов системы соц. обеспечения и соц. страхования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Установление группы инвалидности. Вопросы медико-социальной экс-зы (МСЭ)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137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Определение в дома-интернаты для престар-х и инв-в, псих интернаты .Деят-ть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Соц. обеспечение, соц. помощь семьям, в т.ч. находящ. в тр жизн-й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Обеспечение бесплатным питанием детей до 1,5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Обеспечение техническими средствами реабилитации инвалидов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Протезно-ортопедическая помощь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</w:tr>
      <w:tr w:rsidR="00423741" w:rsidRPr="00423741" w:rsidTr="00423741">
        <w:trPr>
          <w:trHeight w:val="551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Льготы и меры социальной поддержки инвалидов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Проезд льготных категорий граждан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641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Поступление в образовательные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Требования и стандарты в сфере здравоохранения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Охрана здоровья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Работа медицинских учреждений и их сотрудников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2206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1406</w:t>
            </w:r>
          </w:p>
        </w:tc>
      </w:tr>
      <w:tr w:rsidR="00423741" w:rsidRPr="00423741" w:rsidTr="00423741">
        <w:trPr>
          <w:trHeight w:val="655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Лечение и оказание медицинской помощи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232</w:t>
            </w:r>
          </w:p>
        </w:tc>
      </w:tr>
      <w:tr w:rsidR="00423741" w:rsidRPr="00423741" w:rsidTr="00423741">
        <w:trPr>
          <w:trHeight w:val="894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>Помещение в больницы и специализированные лечебные учреждения. Оплата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Врачебно-консультационная комиссия. О мед. обслуживании, диагностике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505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Служба скорой и неотложной помощи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423741" w:rsidRPr="00423741" w:rsidTr="00423741">
        <w:trPr>
          <w:trHeight w:val="670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Медицинское обслуживание сельских жителей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Медицинские советы, народная и нетрадиционная медицина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423741" w:rsidRPr="00423741" w:rsidTr="00423741">
        <w:trPr>
          <w:trHeight w:val="53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Диспансеризация взрослого и детского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</w:tr>
      <w:tr w:rsidR="00423741" w:rsidRPr="00423741" w:rsidTr="00423741">
        <w:trPr>
          <w:trHeight w:val="894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Психоневрологические диспансеры (ПНД).Помещ-е и леч-е, снятие с учета в ПНД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Отношение к больным и их родственникам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Медицинское образование. Работа профес-ных образовательных организаций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Лицензирование медицинской и фармацевтической деятельности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Ремонт медицинских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Платная медицинская помощь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23741" w:rsidRPr="00423741" w:rsidTr="00423741">
        <w:trPr>
          <w:trHeight w:val="715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Охрана здоровья детей, матери и ребенка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 xml:space="preserve"> Оказание медицинской помощи детям в амбулаторно-поликлинических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259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Качество оказания медицинской помощи детям в амбулаторно-полик-их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Организация оказания медицинской помощи детям в стационарных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Качество оказания медицинской помощи детям в стационарных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Лечение бесплодия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Охрана здоровья взрослого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23741" w:rsidRPr="00423741" w:rsidTr="00423741">
        <w:trPr>
          <w:trHeight w:val="894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Организация оказания мед. помощи взрослым в амбулаторно-поликл-ких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178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Качество оказания медицинской помощи взрослым в амб-пол-ких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Организация оказания медицинской помощи взрослым в стационарных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Качество оказания медицинской помощи взрослым в стационарных условиях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Обязательное медицинское страхование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Квоты на оказание высокотехнологической медицинской помощи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Обращение и производство лекарственных средств, медицинских изделий и бадов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>Лекарственное обеспечение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Работа аптек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8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Цены на жизненно-необходимые вещества и лекарственные препараты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Медицинская экспертиза и медицинское освидетельствование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Медицинская экспертиза и медицинское освидетельствование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81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Экспертиза временной нетрудоспособности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Медицинское освидетельствование на состояние опьянения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Материально-техническое и финансовое обеспечение в сфере здравоохранения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Внедрение и использование современных мед. технологий в том числе инновац-х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Борьба с социально значимыми заболеваниями (СПИД, туберкулез)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Государственный контроль и надзор в сфере здравоохранения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Санитарно-эпидемиологическое благополучие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Курортное дело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lastRenderedPageBreak/>
              <w:t>Создание, ликвидация и реорганизация медицинских учреждений и организаций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</w:tr>
      <w:tr w:rsidR="00423741" w:rsidRPr="00423741" w:rsidTr="00423741">
        <w:trPr>
          <w:trHeight w:val="37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Направление на лечение за рубеж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6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Заработная плата медицинских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Меры социальной поддержки медицинских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Переподготовка и повышение квалификации медицинских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Переподготовка и повышение квалификации медицинских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 xml:space="preserve"> Борьба с табакокурением, алкоголизмом и наркоманией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Донорство крови, органов и тканей человека и их трансплантация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6</w:t>
            </w:r>
          </w:p>
        </w:tc>
      </w:tr>
      <w:tr w:rsidR="00423741" w:rsidRPr="00423741" w:rsidTr="00423741">
        <w:trPr>
          <w:trHeight w:val="700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Популяризация и пропаганда физической культуры и спорта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462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Запросы архивных данных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Медицинское освидетел-ние, пров-е военно-врач. экспертизы , инвалидность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Pr="00423741" w:rsidRDefault="00423741" w:rsidP="00423741">
            <w:pPr>
              <w:jc w:val="center"/>
              <w:rPr>
                <w:color w:val="000000"/>
                <w:sz w:val="22"/>
                <w:szCs w:val="22"/>
              </w:rPr>
            </w:pPr>
            <w:r w:rsidRPr="00423741">
              <w:rPr>
                <w:color w:val="000000"/>
                <w:sz w:val="22"/>
                <w:szCs w:val="22"/>
              </w:rPr>
              <w:t>3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Квоты на оказание высокотехнологической медицинской помощи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23741" w:rsidRPr="00423741" w:rsidTr="00423741">
        <w:trPr>
          <w:trHeight w:val="596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741" w:rsidRDefault="004237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1D4A6F" w:rsidRDefault="001D4A6F" w:rsidP="001D4A6F">
      <w:r w:rsidRPr="001D4A6F">
        <w:t xml:space="preserve">Исполнитель: Соловьева Светлана Анатольевна, </w:t>
      </w:r>
    </w:p>
    <w:p w:rsidR="00055F5F" w:rsidRPr="001D4A6F" w:rsidRDefault="001D4A6F" w:rsidP="001D4A6F">
      <w:r w:rsidRPr="001D4A6F">
        <w:t xml:space="preserve">solovyeva@minzdrav74.ru. </w:t>
      </w:r>
    </w:p>
    <w:sectPr w:rsidR="00055F5F" w:rsidRPr="001D4A6F" w:rsidSect="00F70A28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0C" w:rsidRDefault="00DE180C" w:rsidP="00E755FD">
      <w:r>
        <w:separator/>
      </w:r>
    </w:p>
  </w:endnote>
  <w:endnote w:type="continuationSeparator" w:id="0">
    <w:p w:rsidR="00DE180C" w:rsidRDefault="00DE180C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423741" w:rsidRDefault="00423741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2A">
          <w:rPr>
            <w:noProof/>
          </w:rPr>
          <w:t>2</w:t>
        </w:r>
        <w:r>
          <w:fldChar w:fldCharType="end"/>
        </w:r>
      </w:p>
    </w:sdtContent>
  </w:sdt>
  <w:p w:rsidR="00423741" w:rsidRDefault="004237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0C" w:rsidRDefault="00DE180C" w:rsidP="00E755FD">
      <w:r>
        <w:separator/>
      </w:r>
    </w:p>
  </w:footnote>
  <w:footnote w:type="continuationSeparator" w:id="0">
    <w:p w:rsidR="00DE180C" w:rsidRDefault="00DE180C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6E4B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C3"/>
    <w:rsid w:val="00023735"/>
    <w:rsid w:val="00023898"/>
    <w:rsid w:val="00023A33"/>
    <w:rsid w:val="0002432F"/>
    <w:rsid w:val="0002516B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50C"/>
    <w:rsid w:val="00046B16"/>
    <w:rsid w:val="00046B57"/>
    <w:rsid w:val="000507EA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C2F"/>
    <w:rsid w:val="00063F63"/>
    <w:rsid w:val="0006739C"/>
    <w:rsid w:val="000715F7"/>
    <w:rsid w:val="0007350E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3E"/>
    <w:rsid w:val="00087168"/>
    <w:rsid w:val="000909B3"/>
    <w:rsid w:val="00090E4F"/>
    <w:rsid w:val="00091488"/>
    <w:rsid w:val="000931C2"/>
    <w:rsid w:val="000955CC"/>
    <w:rsid w:val="0009577E"/>
    <w:rsid w:val="000965B9"/>
    <w:rsid w:val="00096FE9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433E"/>
    <w:rsid w:val="000F65D5"/>
    <w:rsid w:val="000F7660"/>
    <w:rsid w:val="00101010"/>
    <w:rsid w:val="00101DDC"/>
    <w:rsid w:val="001044F8"/>
    <w:rsid w:val="00104A3B"/>
    <w:rsid w:val="00107872"/>
    <w:rsid w:val="00107DE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16BC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B9B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6728D"/>
    <w:rsid w:val="00170479"/>
    <w:rsid w:val="00170E23"/>
    <w:rsid w:val="001747F3"/>
    <w:rsid w:val="00174A5E"/>
    <w:rsid w:val="00175710"/>
    <w:rsid w:val="00175799"/>
    <w:rsid w:val="00177519"/>
    <w:rsid w:val="001801AE"/>
    <w:rsid w:val="001824D5"/>
    <w:rsid w:val="0018402F"/>
    <w:rsid w:val="00184B25"/>
    <w:rsid w:val="00186B3D"/>
    <w:rsid w:val="00187468"/>
    <w:rsid w:val="001903D6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D0C"/>
    <w:rsid w:val="001E05C3"/>
    <w:rsid w:val="001E12BD"/>
    <w:rsid w:val="001E13B3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014"/>
    <w:rsid w:val="00212493"/>
    <w:rsid w:val="00212BDB"/>
    <w:rsid w:val="0021322A"/>
    <w:rsid w:val="00214928"/>
    <w:rsid w:val="002161BF"/>
    <w:rsid w:val="002170AE"/>
    <w:rsid w:val="002229B3"/>
    <w:rsid w:val="002231CC"/>
    <w:rsid w:val="002231DA"/>
    <w:rsid w:val="00223AB6"/>
    <w:rsid w:val="00223ECD"/>
    <w:rsid w:val="002248DC"/>
    <w:rsid w:val="00225F93"/>
    <w:rsid w:val="00226738"/>
    <w:rsid w:val="002301E7"/>
    <w:rsid w:val="00231D2A"/>
    <w:rsid w:val="00233829"/>
    <w:rsid w:val="0023528D"/>
    <w:rsid w:val="00236283"/>
    <w:rsid w:val="00236333"/>
    <w:rsid w:val="0023696B"/>
    <w:rsid w:val="00237F90"/>
    <w:rsid w:val="00240346"/>
    <w:rsid w:val="002404E4"/>
    <w:rsid w:val="002416D0"/>
    <w:rsid w:val="00241F06"/>
    <w:rsid w:val="00243C66"/>
    <w:rsid w:val="00243EEE"/>
    <w:rsid w:val="0024560C"/>
    <w:rsid w:val="00251234"/>
    <w:rsid w:val="002513FB"/>
    <w:rsid w:val="00251F8C"/>
    <w:rsid w:val="00252FC2"/>
    <w:rsid w:val="00254A88"/>
    <w:rsid w:val="00254EF9"/>
    <w:rsid w:val="00261AAB"/>
    <w:rsid w:val="002630BD"/>
    <w:rsid w:val="002646F1"/>
    <w:rsid w:val="00264BCA"/>
    <w:rsid w:val="002707EF"/>
    <w:rsid w:val="00272E31"/>
    <w:rsid w:val="002730B9"/>
    <w:rsid w:val="00274520"/>
    <w:rsid w:val="002761B0"/>
    <w:rsid w:val="00277085"/>
    <w:rsid w:val="00277579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2F1D"/>
    <w:rsid w:val="00293ACC"/>
    <w:rsid w:val="00293D86"/>
    <w:rsid w:val="00296363"/>
    <w:rsid w:val="002A0FFC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592B"/>
    <w:rsid w:val="002D2043"/>
    <w:rsid w:val="002D608E"/>
    <w:rsid w:val="002D6979"/>
    <w:rsid w:val="002E0A7A"/>
    <w:rsid w:val="002E262D"/>
    <w:rsid w:val="002E2958"/>
    <w:rsid w:val="002E2C5E"/>
    <w:rsid w:val="002E6D88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AC9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A25"/>
    <w:rsid w:val="003546FF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28E6"/>
    <w:rsid w:val="003753FF"/>
    <w:rsid w:val="003773A8"/>
    <w:rsid w:val="00380AD3"/>
    <w:rsid w:val="00381496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70CE"/>
    <w:rsid w:val="003A76AC"/>
    <w:rsid w:val="003A7D26"/>
    <w:rsid w:val="003B03E3"/>
    <w:rsid w:val="003B23B1"/>
    <w:rsid w:val="003B2D02"/>
    <w:rsid w:val="003B2FB7"/>
    <w:rsid w:val="003B441A"/>
    <w:rsid w:val="003B580A"/>
    <w:rsid w:val="003B5FB2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590"/>
    <w:rsid w:val="00420C94"/>
    <w:rsid w:val="00422B24"/>
    <w:rsid w:val="004232DD"/>
    <w:rsid w:val="004233BA"/>
    <w:rsid w:val="00423741"/>
    <w:rsid w:val="00430050"/>
    <w:rsid w:val="00432092"/>
    <w:rsid w:val="00435B61"/>
    <w:rsid w:val="00436A2E"/>
    <w:rsid w:val="004375E1"/>
    <w:rsid w:val="00437FA4"/>
    <w:rsid w:val="004403B6"/>
    <w:rsid w:val="0044134F"/>
    <w:rsid w:val="00442B0D"/>
    <w:rsid w:val="00443131"/>
    <w:rsid w:val="00446887"/>
    <w:rsid w:val="004511D5"/>
    <w:rsid w:val="0045163C"/>
    <w:rsid w:val="0045512C"/>
    <w:rsid w:val="0045518B"/>
    <w:rsid w:val="00455C37"/>
    <w:rsid w:val="0045776C"/>
    <w:rsid w:val="00457F3C"/>
    <w:rsid w:val="0046443C"/>
    <w:rsid w:val="00465626"/>
    <w:rsid w:val="00465761"/>
    <w:rsid w:val="00465F6E"/>
    <w:rsid w:val="00466EFB"/>
    <w:rsid w:val="004671B2"/>
    <w:rsid w:val="00475D61"/>
    <w:rsid w:val="00476054"/>
    <w:rsid w:val="00476A7A"/>
    <w:rsid w:val="00476EA6"/>
    <w:rsid w:val="004812CA"/>
    <w:rsid w:val="00483693"/>
    <w:rsid w:val="00487CDD"/>
    <w:rsid w:val="004920EE"/>
    <w:rsid w:val="004931AF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0B88"/>
    <w:rsid w:val="004D10A8"/>
    <w:rsid w:val="004D214F"/>
    <w:rsid w:val="004D2412"/>
    <w:rsid w:val="004D344F"/>
    <w:rsid w:val="004D4455"/>
    <w:rsid w:val="004D52D9"/>
    <w:rsid w:val="004D6AE7"/>
    <w:rsid w:val="004D6D2D"/>
    <w:rsid w:val="004D75DA"/>
    <w:rsid w:val="004E285F"/>
    <w:rsid w:val="004E4759"/>
    <w:rsid w:val="004E52AC"/>
    <w:rsid w:val="004E5C3F"/>
    <w:rsid w:val="004E6DE5"/>
    <w:rsid w:val="004F0432"/>
    <w:rsid w:val="004F11F4"/>
    <w:rsid w:val="004F149E"/>
    <w:rsid w:val="004F492C"/>
    <w:rsid w:val="004F5A17"/>
    <w:rsid w:val="004F6A12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201A6"/>
    <w:rsid w:val="00520B05"/>
    <w:rsid w:val="00520EF7"/>
    <w:rsid w:val="005213EF"/>
    <w:rsid w:val="0052313F"/>
    <w:rsid w:val="00523583"/>
    <w:rsid w:val="005244A0"/>
    <w:rsid w:val="005259E3"/>
    <w:rsid w:val="00525B1B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D9B"/>
    <w:rsid w:val="0062176F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922"/>
    <w:rsid w:val="00640372"/>
    <w:rsid w:val="00642AAD"/>
    <w:rsid w:val="00643845"/>
    <w:rsid w:val="00644627"/>
    <w:rsid w:val="00645190"/>
    <w:rsid w:val="006453F8"/>
    <w:rsid w:val="00647EB2"/>
    <w:rsid w:val="006503AD"/>
    <w:rsid w:val="00650489"/>
    <w:rsid w:val="0065081A"/>
    <w:rsid w:val="00656DDA"/>
    <w:rsid w:val="006572FB"/>
    <w:rsid w:val="0065745A"/>
    <w:rsid w:val="006579CF"/>
    <w:rsid w:val="006604A6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EDF"/>
    <w:rsid w:val="007350EE"/>
    <w:rsid w:val="00735E0D"/>
    <w:rsid w:val="007361CE"/>
    <w:rsid w:val="00736220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229B"/>
    <w:rsid w:val="0078334A"/>
    <w:rsid w:val="00784F39"/>
    <w:rsid w:val="00786EC3"/>
    <w:rsid w:val="00790020"/>
    <w:rsid w:val="0079411A"/>
    <w:rsid w:val="0079428C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62CE"/>
    <w:rsid w:val="007A697B"/>
    <w:rsid w:val="007B1C08"/>
    <w:rsid w:val="007B2B55"/>
    <w:rsid w:val="007B31FA"/>
    <w:rsid w:val="007B3E4B"/>
    <w:rsid w:val="007B3FCC"/>
    <w:rsid w:val="007B57D4"/>
    <w:rsid w:val="007B7982"/>
    <w:rsid w:val="007C25CF"/>
    <w:rsid w:val="007C3649"/>
    <w:rsid w:val="007C4345"/>
    <w:rsid w:val="007C4385"/>
    <w:rsid w:val="007C6135"/>
    <w:rsid w:val="007C6F75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4199"/>
    <w:rsid w:val="00804AE9"/>
    <w:rsid w:val="00810668"/>
    <w:rsid w:val="00812F2D"/>
    <w:rsid w:val="0081368B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1809"/>
    <w:rsid w:val="00844B0C"/>
    <w:rsid w:val="00846D42"/>
    <w:rsid w:val="0084741C"/>
    <w:rsid w:val="00850F64"/>
    <w:rsid w:val="008528CA"/>
    <w:rsid w:val="0085385B"/>
    <w:rsid w:val="00853EAF"/>
    <w:rsid w:val="008566A0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4EBC"/>
    <w:rsid w:val="00895D44"/>
    <w:rsid w:val="0089753D"/>
    <w:rsid w:val="008977DB"/>
    <w:rsid w:val="00897A92"/>
    <w:rsid w:val="008A0F9B"/>
    <w:rsid w:val="008A23B4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A0E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8C1"/>
    <w:rsid w:val="008E1448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21C1"/>
    <w:rsid w:val="00903BFA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141C"/>
    <w:rsid w:val="00942113"/>
    <w:rsid w:val="00944987"/>
    <w:rsid w:val="0094750F"/>
    <w:rsid w:val="009510DF"/>
    <w:rsid w:val="00955AE6"/>
    <w:rsid w:val="0095605A"/>
    <w:rsid w:val="009608C0"/>
    <w:rsid w:val="00961851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0C6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27C6"/>
    <w:rsid w:val="009B37A8"/>
    <w:rsid w:val="009B4A26"/>
    <w:rsid w:val="009B5552"/>
    <w:rsid w:val="009B66EE"/>
    <w:rsid w:val="009B68B8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59C"/>
    <w:rsid w:val="009E2AC8"/>
    <w:rsid w:val="009E56C3"/>
    <w:rsid w:val="009E6511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2D35"/>
    <w:rsid w:val="00A13FF7"/>
    <w:rsid w:val="00A15D0D"/>
    <w:rsid w:val="00A17CDB"/>
    <w:rsid w:val="00A17FCA"/>
    <w:rsid w:val="00A21403"/>
    <w:rsid w:val="00A2162A"/>
    <w:rsid w:val="00A21DF3"/>
    <w:rsid w:val="00A22346"/>
    <w:rsid w:val="00A24F9C"/>
    <w:rsid w:val="00A252BE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4B89"/>
    <w:rsid w:val="00A44F69"/>
    <w:rsid w:val="00A51753"/>
    <w:rsid w:val="00A52431"/>
    <w:rsid w:val="00A52849"/>
    <w:rsid w:val="00A57D68"/>
    <w:rsid w:val="00A619B0"/>
    <w:rsid w:val="00A623D8"/>
    <w:rsid w:val="00A6272A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1D90"/>
    <w:rsid w:val="00A92481"/>
    <w:rsid w:val="00A93FF9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AF75C5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22D4"/>
    <w:rsid w:val="00B32846"/>
    <w:rsid w:val="00B3312C"/>
    <w:rsid w:val="00B33B51"/>
    <w:rsid w:val="00B33DD6"/>
    <w:rsid w:val="00B34572"/>
    <w:rsid w:val="00B35528"/>
    <w:rsid w:val="00B360D5"/>
    <w:rsid w:val="00B408C5"/>
    <w:rsid w:val="00B4693D"/>
    <w:rsid w:val="00B502E4"/>
    <w:rsid w:val="00B50308"/>
    <w:rsid w:val="00B50F33"/>
    <w:rsid w:val="00B5192F"/>
    <w:rsid w:val="00B5580E"/>
    <w:rsid w:val="00B55E5F"/>
    <w:rsid w:val="00B55FA0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71433"/>
    <w:rsid w:val="00B71724"/>
    <w:rsid w:val="00B721C3"/>
    <w:rsid w:val="00B72ECA"/>
    <w:rsid w:val="00B744DE"/>
    <w:rsid w:val="00B77DE7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66A6"/>
    <w:rsid w:val="00C06FE1"/>
    <w:rsid w:val="00C071ED"/>
    <w:rsid w:val="00C1009C"/>
    <w:rsid w:val="00C10DBB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413C3"/>
    <w:rsid w:val="00C4356E"/>
    <w:rsid w:val="00C44771"/>
    <w:rsid w:val="00C4601B"/>
    <w:rsid w:val="00C4610B"/>
    <w:rsid w:val="00C46E33"/>
    <w:rsid w:val="00C51549"/>
    <w:rsid w:val="00C51DB7"/>
    <w:rsid w:val="00C51E9D"/>
    <w:rsid w:val="00C521C1"/>
    <w:rsid w:val="00C55D92"/>
    <w:rsid w:val="00C5667A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F1"/>
    <w:rsid w:val="00C64CD9"/>
    <w:rsid w:val="00C667C7"/>
    <w:rsid w:val="00C70835"/>
    <w:rsid w:val="00C715F6"/>
    <w:rsid w:val="00C7229B"/>
    <w:rsid w:val="00C7364F"/>
    <w:rsid w:val="00C74BA6"/>
    <w:rsid w:val="00C75126"/>
    <w:rsid w:val="00C75A1D"/>
    <w:rsid w:val="00C771C6"/>
    <w:rsid w:val="00C7766F"/>
    <w:rsid w:val="00C80DC2"/>
    <w:rsid w:val="00C820E3"/>
    <w:rsid w:val="00C82728"/>
    <w:rsid w:val="00C83E60"/>
    <w:rsid w:val="00C844FE"/>
    <w:rsid w:val="00C8511D"/>
    <w:rsid w:val="00C8712F"/>
    <w:rsid w:val="00C90D2B"/>
    <w:rsid w:val="00C92E93"/>
    <w:rsid w:val="00C92EBE"/>
    <w:rsid w:val="00C93E01"/>
    <w:rsid w:val="00C95180"/>
    <w:rsid w:val="00C95ACD"/>
    <w:rsid w:val="00CA1EFC"/>
    <w:rsid w:val="00CA6053"/>
    <w:rsid w:val="00CA611E"/>
    <w:rsid w:val="00CA66B5"/>
    <w:rsid w:val="00CA6959"/>
    <w:rsid w:val="00CA7AB9"/>
    <w:rsid w:val="00CA7DB1"/>
    <w:rsid w:val="00CB244F"/>
    <w:rsid w:val="00CB5D2A"/>
    <w:rsid w:val="00CB6391"/>
    <w:rsid w:val="00CB7186"/>
    <w:rsid w:val="00CB76C4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50D"/>
    <w:rsid w:val="00D24AEE"/>
    <w:rsid w:val="00D24E49"/>
    <w:rsid w:val="00D25D95"/>
    <w:rsid w:val="00D26251"/>
    <w:rsid w:val="00D26A13"/>
    <w:rsid w:val="00D27BCA"/>
    <w:rsid w:val="00D302D8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F23"/>
    <w:rsid w:val="00D44068"/>
    <w:rsid w:val="00D46C30"/>
    <w:rsid w:val="00D470C7"/>
    <w:rsid w:val="00D507BF"/>
    <w:rsid w:val="00D50C12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01CB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EEA"/>
    <w:rsid w:val="00DE180C"/>
    <w:rsid w:val="00DE2A75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20760"/>
    <w:rsid w:val="00E2424F"/>
    <w:rsid w:val="00E25731"/>
    <w:rsid w:val="00E27E69"/>
    <w:rsid w:val="00E31DA2"/>
    <w:rsid w:val="00E33B1F"/>
    <w:rsid w:val="00E33E22"/>
    <w:rsid w:val="00E348F6"/>
    <w:rsid w:val="00E36429"/>
    <w:rsid w:val="00E403D6"/>
    <w:rsid w:val="00E40B86"/>
    <w:rsid w:val="00E44193"/>
    <w:rsid w:val="00E4453B"/>
    <w:rsid w:val="00E44576"/>
    <w:rsid w:val="00E44D67"/>
    <w:rsid w:val="00E45F5E"/>
    <w:rsid w:val="00E52451"/>
    <w:rsid w:val="00E52AA3"/>
    <w:rsid w:val="00E53BBA"/>
    <w:rsid w:val="00E55250"/>
    <w:rsid w:val="00E5570D"/>
    <w:rsid w:val="00E55D13"/>
    <w:rsid w:val="00E571A3"/>
    <w:rsid w:val="00E57953"/>
    <w:rsid w:val="00E579B6"/>
    <w:rsid w:val="00E57DC7"/>
    <w:rsid w:val="00E62B28"/>
    <w:rsid w:val="00E637C9"/>
    <w:rsid w:val="00E643F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B7946"/>
    <w:rsid w:val="00EC0D0B"/>
    <w:rsid w:val="00EC0FAA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641E"/>
    <w:rsid w:val="00EF792C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E2D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8F0"/>
    <w:rsid w:val="00F70A28"/>
    <w:rsid w:val="00F71FFD"/>
    <w:rsid w:val="00F7281E"/>
    <w:rsid w:val="00F73B86"/>
    <w:rsid w:val="00F73C5F"/>
    <w:rsid w:val="00F761E6"/>
    <w:rsid w:val="00F767D0"/>
    <w:rsid w:val="00F76C5F"/>
    <w:rsid w:val="00F77361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8F6C-2EBF-40FF-88BA-D825874A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9688</Words>
  <Characters>55224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64783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2</cp:revision>
  <cp:lastPrinted>2018-10-05T09:37:00Z</cp:lastPrinted>
  <dcterms:created xsi:type="dcterms:W3CDTF">2018-11-02T05:24:00Z</dcterms:created>
  <dcterms:modified xsi:type="dcterms:W3CDTF">2018-11-02T05:24:00Z</dcterms:modified>
</cp:coreProperties>
</file>